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12bis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415009</w:t>
      </w:r>
    </w:p>
    <w:p>
      <w:pPr>
        <w:pStyle w:val="16"/>
        <w:tabs>
          <w:tab w:val="right" w:pos="9781"/>
          <w:tab w:val="right" w:pos="13323"/>
          <w:tab w:val="clear" w:pos="4153"/>
          <w:tab w:val="clear" w:pos="8306"/>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Hefei, Anhui, China, 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October, 2024</w:t>
      </w:r>
    </w:p>
    <w:p>
      <w:pPr>
        <w:tabs>
          <w:tab w:val="left" w:pos="1765"/>
          <w:tab w:val="center" w:pos="4557"/>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6.26.4.1</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(NR_NTN_Ph3-Core) </w:t>
      </w:r>
      <w:r>
        <w:rPr>
          <w:rFonts w:hint="eastAsia"/>
          <w:sz w:val="22"/>
        </w:rPr>
        <w:t>Discussion on the RRM requirement for NTN phase3</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 xml:space="preserve">In last meeting, RAN4 discussed some general issues about supporting (e)RedCap UEs over NR FR1-NTN. The WF has been approved in [1]. </w:t>
      </w: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requirements</w:t>
      </w:r>
      <w:r>
        <w:rPr>
          <w:rFonts w:eastAsia="等线"/>
          <w:sz w:val="20"/>
          <w:szCs w:val="20"/>
        </w:rPr>
        <w:t>.</w:t>
      </w:r>
    </w:p>
    <w:p>
      <w:pPr>
        <w:pStyle w:val="2"/>
        <w:numPr>
          <w:ilvl w:val="0"/>
          <w:numId w:val="5"/>
        </w:numPr>
        <w:pBdr>
          <w:top w:val="single" w:color="auto" w:sz="12" w:space="3"/>
        </w:pBdr>
        <w:spacing w:before="120" w:after="60" w:line="240" w:lineRule="auto"/>
        <w:rPr>
          <w:rFonts w:hint="eastAsia" w:ascii="Times New Roman" w:hAnsi="Times New Roman"/>
          <w:b w:val="0"/>
          <w:bCs w:val="0"/>
          <w:kern w:val="0"/>
          <w:sz w:val="36"/>
          <w:szCs w:val="36"/>
          <w:lang w:val="en-US" w:eastAsia="ja-JP"/>
        </w:rPr>
      </w:pPr>
      <w:bookmarkStart w:id="5" w:name="_Hlk147849822"/>
      <w:bookmarkStart w:id="6" w:name="_Hlk70326378"/>
      <w:bookmarkStart w:id="7" w:name="OLE_LINK1"/>
      <w:bookmarkStart w:id="8" w:name="OLE_LINK2"/>
      <w:r>
        <w:rPr>
          <w:rFonts w:hint="eastAsia" w:ascii="Times New Roman" w:hAnsi="Times New Roman"/>
          <w:b w:val="0"/>
          <w:bCs w:val="0"/>
          <w:kern w:val="0"/>
          <w:sz w:val="36"/>
          <w:szCs w:val="36"/>
          <w:lang w:val="en-US" w:eastAsia="zh-CN"/>
        </w:rPr>
        <w:t>Support of (e)RedCap UEs with NR FR1-NTN</w:t>
      </w: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 xml:space="preserve">Issue </w:t>
      </w:r>
      <w:r>
        <w:rPr>
          <w:rFonts w:hint="eastAsia"/>
          <w:b/>
          <w:i/>
          <w:iCs/>
          <w:sz w:val="20"/>
          <w:szCs w:val="20"/>
          <w:highlight w:val="none"/>
          <w:u w:val="single"/>
          <w:lang w:val="en-US" w:eastAsia="zh-CN"/>
        </w:rPr>
        <w:t>6</w:t>
      </w:r>
      <w:r>
        <w:rPr>
          <w:rFonts w:hint="eastAsia"/>
          <w:b/>
          <w:i/>
          <w:iCs/>
          <w:sz w:val="20"/>
          <w:szCs w:val="20"/>
          <w:highlight w:val="none"/>
          <w:u w:val="single"/>
          <w:lang w:val="en-US" w:eastAsia="ko-KR"/>
        </w:rPr>
        <w:t>-1</w:t>
      </w:r>
      <w:r>
        <w:rPr>
          <w:rFonts w:hint="eastAsia"/>
          <w:b/>
          <w:i/>
          <w:iCs/>
          <w:sz w:val="20"/>
          <w:szCs w:val="20"/>
          <w:highlight w:val="none"/>
          <w:u w:val="single"/>
          <w:lang w:val="en-US" w:eastAsia="zh-CN"/>
        </w:rPr>
        <w:t>-2</w:t>
      </w:r>
      <w:r>
        <w:rPr>
          <w:rFonts w:hint="eastAsia"/>
          <w:b/>
          <w:i/>
          <w:iCs/>
          <w:sz w:val="20"/>
          <w:szCs w:val="20"/>
          <w:highlight w:val="none"/>
          <w:u w:val="single"/>
          <w:lang w:val="en-US" w:eastAsia="ko-KR"/>
        </w:rPr>
        <w:t xml:space="preserve">: </w:t>
      </w:r>
      <w:r>
        <w:rPr>
          <w:rFonts w:hint="eastAsia"/>
          <w:b/>
          <w:i/>
          <w:iCs/>
          <w:sz w:val="20"/>
          <w:szCs w:val="20"/>
          <w:highlight w:val="none"/>
          <w:u w:val="single"/>
          <w:lang w:val="en-US" w:eastAsia="zh-CN"/>
        </w:rPr>
        <w:t>T</w:t>
      </w:r>
      <w:r>
        <w:rPr>
          <w:rFonts w:hint="eastAsia"/>
          <w:b/>
          <w:i/>
          <w:iCs/>
          <w:sz w:val="20"/>
          <w:szCs w:val="20"/>
          <w:highlight w:val="none"/>
          <w:u w:val="single"/>
          <w:lang w:val="en-US" w:eastAsia="ko-KR"/>
        </w:rPr>
        <w:t xml:space="preserve">he </w:t>
      </w:r>
      <w:r>
        <w:rPr>
          <w:rFonts w:hint="eastAsia"/>
          <w:b/>
          <w:i/>
          <w:iCs/>
          <w:sz w:val="20"/>
          <w:szCs w:val="20"/>
          <w:highlight w:val="none"/>
          <w:u w:val="single"/>
          <w:lang w:val="en-US" w:eastAsia="zh-CN"/>
        </w:rPr>
        <w:t xml:space="preserve">bandwidth </w:t>
      </w:r>
      <w:r>
        <w:rPr>
          <w:rFonts w:hint="eastAsia"/>
          <w:b/>
          <w:i/>
          <w:iCs/>
          <w:sz w:val="20"/>
          <w:szCs w:val="20"/>
          <w:highlight w:val="none"/>
          <w:u w:val="single"/>
          <w:lang w:val="en-US" w:eastAsia="ko-KR"/>
        </w:rPr>
        <w:t>of (e)Redcap UE with FR1-NTN</w:t>
      </w:r>
    </w:p>
    <w:p>
      <w:pPr>
        <w:outlineLvl w:val="9"/>
        <w:rPr>
          <w:rFonts w:hint="eastAsia"/>
          <w:b/>
          <w:bCs w:val="0"/>
          <w:i/>
          <w:iCs/>
          <w:sz w:val="20"/>
          <w:szCs w:val="20"/>
          <w:highlight w:val="none"/>
          <w:u w:val="none"/>
          <w:lang w:val="en-GB" w:eastAsia="zh-CN"/>
        </w:rPr>
      </w:pPr>
      <w:r>
        <w:rPr>
          <w:rFonts w:hint="eastAsia"/>
          <w:b/>
          <w:bCs w:val="0"/>
          <w:i/>
          <w:iCs/>
          <w:sz w:val="20"/>
          <w:szCs w:val="20"/>
          <w:highlight w:val="none"/>
          <w:u w:val="none"/>
          <w:lang w:val="en-US" w:eastAsia="ko-KR"/>
        </w:rPr>
        <w:t>&lt;Way Forward&gt;</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Both bandwidth with and without reduction of R18 eRedCap UE should be supported for (e)RedCap UE with FR1-NTN bands. </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Note: There is no RRM impact on the two different types of eRedCap UEs (bandwidth with and without reduction).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Based on our understanding of the WID, both bandwidth with and without reduction of R18 eRedcap UE are in the scope. Same RRM requirement can be applied for both bandwidth with and without reduction of R18 eRedcap UE as legacy.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Both bandwidth with and without reduction of R18 eRedCap UE should be supported for (e)RedCap UE with FR1-NTN bands, same RRM requirements can be applied.</w:t>
      </w:r>
    </w:p>
    <w:p>
      <w:pPr>
        <w:outlineLvl w:val="9"/>
        <w:rPr>
          <w:rFonts w:hint="eastAsia"/>
          <w:b/>
          <w:i/>
          <w:iCs/>
          <w:sz w:val="20"/>
          <w:szCs w:val="20"/>
          <w:highlight w:val="none"/>
          <w:u w:val="single"/>
          <w:lang w:val="en-US" w:eastAsia="ko-KR"/>
        </w:rPr>
      </w:pP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 xml:space="preserve">Issue </w:t>
      </w:r>
      <w:r>
        <w:rPr>
          <w:rFonts w:hint="eastAsia"/>
          <w:b/>
          <w:i/>
          <w:iCs/>
          <w:sz w:val="20"/>
          <w:szCs w:val="20"/>
          <w:highlight w:val="none"/>
          <w:u w:val="single"/>
          <w:lang w:val="en-US" w:eastAsia="zh-CN"/>
        </w:rPr>
        <w:t>6</w:t>
      </w:r>
      <w:r>
        <w:rPr>
          <w:rFonts w:hint="eastAsia"/>
          <w:b/>
          <w:i/>
          <w:iCs/>
          <w:sz w:val="20"/>
          <w:szCs w:val="20"/>
          <w:highlight w:val="none"/>
          <w:u w:val="single"/>
          <w:lang w:val="en-US" w:eastAsia="ko-KR"/>
        </w:rPr>
        <w:t>-1</w:t>
      </w:r>
      <w:r>
        <w:rPr>
          <w:rFonts w:hint="eastAsia"/>
          <w:b/>
          <w:i/>
          <w:iCs/>
          <w:sz w:val="20"/>
          <w:szCs w:val="20"/>
          <w:highlight w:val="none"/>
          <w:u w:val="single"/>
          <w:lang w:val="en-US" w:eastAsia="zh-CN"/>
        </w:rPr>
        <w:t>-5</w:t>
      </w:r>
      <w:r>
        <w:rPr>
          <w:rFonts w:hint="eastAsia"/>
          <w:b/>
          <w:i/>
          <w:iCs/>
          <w:sz w:val="20"/>
          <w:szCs w:val="20"/>
          <w:highlight w:val="none"/>
          <w:u w:val="single"/>
          <w:lang w:val="en-US" w:eastAsia="ko-KR"/>
        </w:rPr>
        <w:t xml:space="preserve">: </w:t>
      </w:r>
      <w:r>
        <w:rPr>
          <w:rFonts w:hint="eastAsia"/>
          <w:b/>
          <w:i/>
          <w:iCs/>
          <w:sz w:val="20"/>
          <w:szCs w:val="20"/>
          <w:highlight w:val="none"/>
          <w:u w:val="single"/>
          <w:lang w:val="en-US" w:eastAsia="zh-CN"/>
        </w:rPr>
        <w:t xml:space="preserve">The network scenario </w:t>
      </w:r>
      <w:r>
        <w:rPr>
          <w:rFonts w:hint="eastAsia"/>
          <w:b/>
          <w:i/>
          <w:iCs/>
          <w:sz w:val="20"/>
          <w:szCs w:val="20"/>
          <w:highlight w:val="none"/>
          <w:u w:val="single"/>
          <w:lang w:val="en-US" w:eastAsia="ko-KR"/>
        </w:rPr>
        <w:t>considered for (e)Redcap UE with FR1-NTN</w:t>
      </w:r>
    </w:p>
    <w:p>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ko-KR"/>
        </w:rPr>
        <w:t xml:space="preserve">&lt;Way Forward&gt; </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scenario considered for (e)Redcap UE with FR1-NTN bands, RAN4 only supports NR SA operation mode with single carrier.</w:t>
      </w: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 xml:space="preserve">Issue </w:t>
      </w:r>
      <w:r>
        <w:rPr>
          <w:rFonts w:hint="eastAsia"/>
          <w:b/>
          <w:i/>
          <w:iCs/>
          <w:sz w:val="20"/>
          <w:szCs w:val="20"/>
          <w:highlight w:val="none"/>
          <w:u w:val="single"/>
          <w:lang w:val="en-US" w:eastAsia="zh-CN"/>
        </w:rPr>
        <w:t>6</w:t>
      </w:r>
      <w:r>
        <w:rPr>
          <w:rFonts w:hint="eastAsia"/>
          <w:b/>
          <w:i/>
          <w:iCs/>
          <w:sz w:val="20"/>
          <w:szCs w:val="20"/>
          <w:highlight w:val="none"/>
          <w:u w:val="single"/>
          <w:lang w:val="en-US" w:eastAsia="ko-KR"/>
        </w:rPr>
        <w:t>-1</w:t>
      </w:r>
      <w:r>
        <w:rPr>
          <w:rFonts w:hint="eastAsia"/>
          <w:b/>
          <w:i/>
          <w:iCs/>
          <w:sz w:val="20"/>
          <w:szCs w:val="20"/>
          <w:highlight w:val="none"/>
          <w:u w:val="single"/>
          <w:lang w:val="en-US" w:eastAsia="zh-CN"/>
        </w:rPr>
        <w:t>-6</w:t>
      </w:r>
      <w:r>
        <w:rPr>
          <w:rFonts w:hint="eastAsia"/>
          <w:b/>
          <w:i/>
          <w:iCs/>
          <w:sz w:val="20"/>
          <w:szCs w:val="20"/>
          <w:highlight w:val="none"/>
          <w:u w:val="single"/>
          <w:lang w:val="en-US" w:eastAsia="ko-KR"/>
        </w:rPr>
        <w:t xml:space="preserve">: </w:t>
      </w:r>
      <w:r>
        <w:rPr>
          <w:rFonts w:hint="eastAsia"/>
          <w:b/>
          <w:i/>
          <w:iCs/>
          <w:sz w:val="20"/>
          <w:szCs w:val="20"/>
          <w:highlight w:val="none"/>
          <w:u w:val="single"/>
          <w:lang w:val="en-US" w:eastAsia="zh-CN"/>
        </w:rPr>
        <w:t>The SCS considered for (e)Redcap UE with FR1-NTN</w:t>
      </w:r>
    </w:p>
    <w:p>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ko-KR"/>
        </w:rPr>
        <w:t>&lt;Way Forward&gt;</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RRM requirements, the SCS considered for (e)Redcap UE with FR1-NTN support 15kHz, 30kHz and 60kHz.</w:t>
      </w:r>
    </w:p>
    <w:bookmarkEnd w:id="5"/>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In addition to the scenario agreed in last meeting, only FR1 single carrier should be considered, and all FR1 SCS, including 15kHz, 30kHz and 60kHz should be supported.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In addition to the scenario agreed in last meeting, only FR1 single carrier should be considered, and all FR1 SCS, including 15kHz, 30kHz and 60kHz should be supported.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6-</w:t>
      </w:r>
      <w:r>
        <w:rPr>
          <w:rFonts w:hint="eastAsia"/>
          <w:b/>
          <w:i/>
          <w:iCs/>
          <w:sz w:val="20"/>
          <w:szCs w:val="20"/>
          <w:highlight w:val="none"/>
          <w:u w:val="single"/>
          <w:lang w:val="en-US" w:eastAsia="zh-CN"/>
        </w:rPr>
        <w:t>2</w:t>
      </w:r>
      <w:r>
        <w:rPr>
          <w:rFonts w:hint="eastAsia"/>
          <w:b/>
          <w:i/>
          <w:iCs/>
          <w:sz w:val="20"/>
          <w:szCs w:val="20"/>
          <w:highlight w:val="none"/>
          <w:u w:val="single"/>
          <w:lang w:val="en-US" w:eastAsia="ko-KR"/>
        </w:rPr>
        <w:t>-</w:t>
      </w:r>
      <w:r>
        <w:rPr>
          <w:rFonts w:hint="eastAsia"/>
          <w:b/>
          <w:i/>
          <w:iCs/>
          <w:sz w:val="20"/>
          <w:szCs w:val="20"/>
          <w:highlight w:val="none"/>
          <w:u w:val="single"/>
          <w:lang w:val="en-US" w:eastAsia="zh-CN"/>
        </w:rPr>
        <w:t>2</w:t>
      </w:r>
      <w:r>
        <w:rPr>
          <w:rFonts w:hint="eastAsia"/>
          <w:b/>
          <w:i/>
          <w:iCs/>
          <w:sz w:val="20"/>
          <w:szCs w:val="20"/>
          <w:highlight w:val="none"/>
          <w:u w:val="single"/>
          <w:lang w:val="en-US" w:eastAsia="ko-KR"/>
        </w:rPr>
        <w:t>: What RRM requirements are defined for (e)RedCap UE with FR1-NTN</w:t>
      </w:r>
    </w:p>
    <w:p>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en-US"/>
        </w:rPr>
        <w:t>&lt;Agreement&gt;</w:t>
      </w:r>
    </w:p>
    <w:p>
      <w:pPr>
        <w:keepNext w:val="0"/>
        <w:keepLines w:val="0"/>
        <w:pageBreakBefore w:val="0"/>
        <w:widowControl/>
        <w:numPr>
          <w:ilvl w:val="0"/>
          <w:numId w:val="6"/>
        </w:numPr>
        <w:kinsoku/>
        <w:wordWrap/>
        <w:overflowPunct/>
        <w:topLinePunct w:val="0"/>
        <w:autoSpaceDE/>
        <w:autoSpaceDN/>
        <w:bidi w:val="0"/>
        <w:adjustRightInd/>
        <w:snapToGrid/>
        <w:spacing w:after="60"/>
        <w:ind w:left="72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GB" w:eastAsia="zh-CN" w:bidi="ar-SA"/>
        </w:rPr>
        <w:t>FR2 related requirements shall not be defined for (e)RedCap UE with FR1-NTN bands.</w:t>
      </w:r>
    </w:p>
    <w:p>
      <w:pPr>
        <w:keepNext w:val="0"/>
        <w:keepLines w:val="0"/>
        <w:pageBreakBefore w:val="0"/>
        <w:widowControl/>
        <w:numPr>
          <w:ilvl w:val="0"/>
          <w:numId w:val="6"/>
        </w:numPr>
        <w:kinsoku/>
        <w:wordWrap/>
        <w:overflowPunct/>
        <w:topLinePunct w:val="0"/>
        <w:autoSpaceDE/>
        <w:autoSpaceDN/>
        <w:bidi w:val="0"/>
        <w:adjustRightInd/>
        <w:snapToGrid/>
        <w:spacing w:after="60"/>
        <w:ind w:left="720" w:hanging="363"/>
        <w:contextualSpacing w:val="0"/>
        <w:textAlignment w:val="auto"/>
        <w:rPr>
          <w:rFonts w:hint="eastAsia" w:ascii="Times New Roman" w:hAnsi="Times New Roman" w:eastAsia="宋体" w:cs="Times New Roman"/>
          <w:i/>
          <w:iCs/>
          <w:sz w:val="20"/>
          <w:szCs w:val="20"/>
          <w:lang w:val="en-GB" w:eastAsia="zh-CN" w:bidi="ar-SA"/>
        </w:rPr>
      </w:pPr>
      <w:r>
        <w:rPr>
          <w:rFonts w:hint="eastAsia" w:ascii="Times New Roman" w:hAnsi="Times New Roman" w:eastAsia="宋体" w:cs="Times New Roman"/>
          <w:i/>
          <w:iCs/>
          <w:sz w:val="20"/>
          <w:szCs w:val="20"/>
          <w:lang w:val="en-GB" w:eastAsia="zh-CN" w:bidi="ar-SA"/>
        </w:rPr>
        <w:t>The requirements defined for both NTN and (e)RedCap UE requirements should be defined for (e)RedCap UE with FR1-NTN bands, including the following:</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GB" w:eastAsia="zh-CN" w:bidi="ar-SA"/>
        </w:rPr>
      </w:pPr>
      <w:r>
        <w:rPr>
          <w:rFonts w:hint="eastAsia" w:ascii="Times New Roman" w:hAnsi="Times New Roman" w:eastAsia="宋体" w:cs="Times New Roman"/>
          <w:i/>
          <w:iCs/>
          <w:sz w:val="20"/>
          <w:szCs w:val="20"/>
          <w:lang w:val="en-US" w:eastAsia="zh-CN" w:bidi="ar-SA"/>
        </w:rPr>
        <w:t>Cell Re-selection for RRC_IDLE state mobility</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Cell Re-selection for RRC_INACTIVE state mobility</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NR Handover</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NR FR1 - NR FR1 RACH-based Handover </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RRC Connection Mobility Control</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SA: RRC Re-establishment</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Random access</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SA: RRC Connection Release with Redirection </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Timing</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UE transmit timing </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UE timer accuracy</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Timing advance </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Signalling characteristics</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Radio Link Monitoring </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Link Recovery Procedures</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Active BWP switch delay</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Active TCI state switching delay</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UE-specific CBW change</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Measurement Procedure</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General measurement requirement</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NR intra-frequency measurements</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NR inter-frequency measurements</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L1-RSRP measurements for Reporting</w:t>
      </w:r>
    </w:p>
    <w:p>
      <w:pPr>
        <w:keepNext w:val="0"/>
        <w:keepLines w:val="0"/>
        <w:pageBreakBefore w:val="0"/>
        <w:widowControl/>
        <w:numPr>
          <w:ilvl w:val="0"/>
          <w:numId w:val="6"/>
        </w:numPr>
        <w:kinsoku/>
        <w:wordWrap/>
        <w:overflowPunct/>
        <w:topLinePunct w:val="0"/>
        <w:autoSpaceDE/>
        <w:autoSpaceDN/>
        <w:bidi w:val="0"/>
        <w:adjustRightInd/>
        <w:snapToGrid/>
        <w:spacing w:after="60"/>
        <w:ind w:left="72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For the requirements that have only been defined for NTN, RAN4 to define the </w:t>
      </w:r>
      <w:bookmarkStart w:id="9" w:name="OLE_LINK63"/>
      <w:bookmarkStart w:id="10" w:name="OLE_LINK64"/>
      <w:r>
        <w:rPr>
          <w:rFonts w:hint="eastAsia" w:ascii="Times New Roman" w:hAnsi="Times New Roman" w:eastAsia="宋体" w:cs="Times New Roman"/>
          <w:i/>
          <w:iCs/>
          <w:sz w:val="20"/>
          <w:szCs w:val="20"/>
          <w:lang w:val="en-US" w:eastAsia="zh-CN" w:bidi="ar-SA"/>
        </w:rPr>
        <w:t>following FR1-NTN requirements</w:t>
      </w:r>
      <w:bookmarkEnd w:id="9"/>
      <w:bookmarkEnd w:id="10"/>
      <w:r>
        <w:rPr>
          <w:rFonts w:hint="eastAsia" w:ascii="Times New Roman" w:hAnsi="Times New Roman" w:eastAsia="宋体" w:cs="Times New Roman"/>
          <w:i/>
          <w:iCs/>
          <w:sz w:val="20"/>
          <w:szCs w:val="20"/>
          <w:lang w:val="en-US" w:eastAsia="zh-CN" w:bidi="ar-SA"/>
        </w:rPr>
        <w:t xml:space="preserve"> for (e)Redcap:</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NR SAN Satellite switching with re-synchronization</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Pathloss reference signal switching delay</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Network verified UE location</w:t>
      </w:r>
    </w:p>
    <w:p>
      <w:pPr>
        <w:keepNext w:val="0"/>
        <w:keepLines w:val="0"/>
        <w:pageBreakBefore w:val="0"/>
        <w:widowControl/>
        <w:numPr>
          <w:ilvl w:val="0"/>
          <w:numId w:val="6"/>
        </w:numPr>
        <w:kinsoku/>
        <w:wordWrap/>
        <w:overflowPunct/>
        <w:topLinePunct w:val="0"/>
        <w:autoSpaceDE/>
        <w:autoSpaceDN/>
        <w:bidi w:val="0"/>
        <w:adjustRightInd/>
        <w:snapToGrid/>
        <w:spacing w:after="60"/>
        <w:ind w:left="72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the requirements that have only been defined for (e)Redcap and not been defined for FR1-NTN, RAN4 NOT to define the following requirements for NTN (e)RedCap in Rel-19:</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NR measurements for positioning in RRC_INACTIVE state</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NR Handover to other RATs</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Note: For NTN (e)RedCap, it refers to, for example, NTN to E-UTRA handover</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RRC connection release with redirection to E-UTRAN</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deriveSSB-IndexFromCell tolerance</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Uplink spatial relation switch delay</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Inter-RAT measurements in idle/inactive/connected mode</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PRS-RSRPP measurements</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NR measurements with autonomous gaps</w:t>
      </w:r>
    </w:p>
    <w:p>
      <w:pPr>
        <w:outlineLvl w:val="9"/>
        <w:rPr>
          <w:rFonts w:hint="eastAsia"/>
          <w:b/>
          <w:bCs w:val="0"/>
          <w:i/>
          <w:iCs/>
          <w:sz w:val="20"/>
          <w:szCs w:val="20"/>
          <w:highlight w:val="none"/>
          <w:u w:val="none"/>
          <w:lang w:val="en-US" w:eastAsia="zh-CN"/>
        </w:rPr>
      </w:pPr>
      <w:bookmarkStart w:id="11" w:name="OLE_LINK66"/>
      <w:bookmarkStart w:id="12" w:name="OLE_LINK65"/>
      <w:r>
        <w:rPr>
          <w:rFonts w:hint="eastAsia"/>
          <w:b/>
          <w:bCs w:val="0"/>
          <w:i/>
          <w:iCs/>
          <w:sz w:val="20"/>
          <w:szCs w:val="20"/>
          <w:highlight w:val="none"/>
          <w:u w:val="none"/>
          <w:lang w:val="en-US" w:eastAsia="en-US"/>
        </w:rPr>
        <w:t xml:space="preserve">&lt;Way Forward&gt; </w:t>
      </w:r>
    </w:p>
    <w:bookmarkEnd w:id="11"/>
    <w:bookmarkEnd w:id="12"/>
    <w:p>
      <w:pPr>
        <w:keepNext w:val="0"/>
        <w:keepLines w:val="0"/>
        <w:pageBreakBefore w:val="0"/>
        <w:widowControl/>
        <w:numPr>
          <w:ilvl w:val="0"/>
          <w:numId w:val="6"/>
        </w:numPr>
        <w:kinsoku/>
        <w:wordWrap/>
        <w:overflowPunct/>
        <w:topLinePunct w:val="0"/>
        <w:autoSpaceDE/>
        <w:autoSpaceDN/>
        <w:bidi w:val="0"/>
        <w:adjustRightInd/>
        <w:snapToGrid/>
        <w:spacing w:after="60"/>
        <w:ind w:left="72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FFS for the following requirements:</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Minimization of Drive Tests (MDT) in RRC_IDLE state and RRC_INACTIVE state</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NR Rel-17/18 Conditional Handover, and RACH-less Handover</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Note: further check whether they are supported for RedCap NTN in RAN1/2 spec.</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FFS: Send LS to RAN1/2 to ask the status. RAN4 does not trigger the RAN1/2 discussion to support these features.</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Configured Grant based Small Data Transmissions (CG-SDT)</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default"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Random access based Small Data Transmissions (RA-SDT)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 xml:space="preserve">First of all, we think it is beneficial to support MDT capability for Redcap UE over NTN. For NTN network with large/moving cell coverage, the difficulty and cost of network operation and optimization will increase a lot. While MDT could </w:t>
      </w:r>
      <w:r>
        <w:rPr>
          <w:rFonts w:hint="eastAsia"/>
          <w:kern w:val="2"/>
          <w:sz w:val="20"/>
          <w:szCs w:val="20"/>
          <w:lang w:val="en-GB" w:eastAsia="zh-CN"/>
        </w:rPr>
        <w:t>help network to optimize</w:t>
      </w:r>
      <w:r>
        <w:rPr>
          <w:rFonts w:hint="eastAsia"/>
          <w:kern w:val="2"/>
          <w:sz w:val="20"/>
          <w:szCs w:val="20"/>
          <w:lang w:val="en-US" w:eastAsia="zh-CN"/>
        </w:rPr>
        <w:t xml:space="preserve"> the scheduling with low cost</w:t>
      </w:r>
      <w:r>
        <w:rPr>
          <w:rFonts w:hint="eastAsia"/>
          <w:kern w:val="2"/>
          <w:sz w:val="20"/>
          <w:szCs w:val="20"/>
          <w:lang w:val="en-GB" w:eastAsia="zh-CN"/>
        </w:rPr>
        <w:t>.</w:t>
      </w:r>
      <w:r>
        <w:rPr>
          <w:rFonts w:hint="eastAsia"/>
          <w:kern w:val="2"/>
          <w:sz w:val="20"/>
          <w:szCs w:val="20"/>
          <w:lang w:val="en-US" w:eastAsia="zh-CN"/>
        </w:rPr>
        <w:t xml:space="preserve"> Considering there is no MDT requirements for Redcap, it may need further check whether MDT can be supported for RedCap UE in RAN1/2 spec.</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Then for conditional handover, in NTN, considering in-apparent near-far-effect and earth-fixed deployment, the location-based CHO and time-based CHO can enhance the handover efficiency and improve network performance by decreasing handover failure, we also support to introduce this feature in Redcap over NTN.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We don</w:t>
      </w:r>
      <w:r>
        <w:rPr>
          <w:rFonts w:hint="default"/>
          <w:kern w:val="2"/>
          <w:sz w:val="20"/>
          <w:szCs w:val="20"/>
          <w:lang w:val="en-US" w:eastAsia="zh-CN"/>
        </w:rPr>
        <w:t>’</w:t>
      </w:r>
      <w:r>
        <w:rPr>
          <w:rFonts w:hint="eastAsia"/>
          <w:kern w:val="2"/>
          <w:sz w:val="20"/>
          <w:szCs w:val="20"/>
          <w:lang w:val="en-US" w:eastAsia="zh-CN"/>
        </w:rPr>
        <w:t>t have strong view of whether to support SDT and RACH-less or not. If SDT is supported, RA-SDT should have higher priority than CG-SDT, since the cg-SDT-RSRP-ChangeThreshold for TA validation methodology may need some enhancement, considering TA pre-compensation and near-far-effect in NTN.</w:t>
      </w:r>
    </w:p>
    <w:p>
      <w:pPr>
        <w:tabs>
          <w:tab w:val="left" w:pos="1134"/>
        </w:tabs>
        <w:spacing w:before="60"/>
        <w:jc w:val="both"/>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Define following requirements for Redcap over NTN, if the related features are supported in RAN1/2 spec:</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MDT requirements in RRC_IDLE and RRC_INACTIVE state</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NR Rel-17/18 CHO, including location-based CHO and time-based CHO</w:t>
      </w:r>
    </w:p>
    <w:p>
      <w:pPr>
        <w:keepNext/>
        <w:keepLines/>
        <w:spacing w:before="120" w:after="120" w:line="240" w:lineRule="auto"/>
        <w:outlineLvl w:val="9"/>
        <w:rPr>
          <w:rFonts w:ascii="Times New Roman" w:hAnsi="Times New Roman" w:eastAsia="宋体" w:cs="Times New Roman"/>
          <w:b/>
          <w:bCs/>
          <w:i/>
          <w:iCs/>
          <w:sz w:val="20"/>
          <w:szCs w:val="28"/>
          <w:u w:val="single"/>
          <w:lang w:val="en-US" w:eastAsia="ko-KR" w:bidi="ar-SA"/>
        </w:rPr>
      </w:pPr>
    </w:p>
    <w:p>
      <w:pPr>
        <w:keepNext/>
        <w:keepLines/>
        <w:spacing w:before="120" w:after="120" w:line="240" w:lineRule="auto"/>
        <w:outlineLvl w:val="9"/>
        <w:rPr>
          <w:rFonts w:ascii="Times New Roman" w:hAnsi="Times New Roman" w:eastAsia="宋体" w:cs="Times New Roman"/>
          <w:b/>
          <w:bCs/>
          <w:i/>
          <w:iCs/>
          <w:sz w:val="20"/>
          <w:szCs w:val="28"/>
          <w:u w:val="single"/>
          <w:lang w:val="en-US" w:eastAsia="zh-CN" w:bidi="ar-SA"/>
        </w:rPr>
      </w:pPr>
      <w:r>
        <w:rPr>
          <w:rFonts w:ascii="Times New Roman" w:hAnsi="Times New Roman" w:eastAsia="宋体" w:cs="Times New Roman"/>
          <w:b/>
          <w:bCs/>
          <w:i/>
          <w:iCs/>
          <w:sz w:val="20"/>
          <w:szCs w:val="28"/>
          <w:u w:val="single"/>
          <w:lang w:val="en-US" w:eastAsia="ko-KR" w:bidi="ar-SA"/>
        </w:rPr>
        <w:t>Issue 6-</w:t>
      </w:r>
      <w:r>
        <w:rPr>
          <w:rFonts w:hint="eastAsia" w:ascii="Times New Roman" w:hAnsi="Times New Roman" w:eastAsia="宋体" w:cs="Times New Roman"/>
          <w:b/>
          <w:bCs/>
          <w:i/>
          <w:iCs/>
          <w:sz w:val="20"/>
          <w:szCs w:val="28"/>
          <w:u w:val="single"/>
          <w:lang w:val="en-US" w:eastAsia="zh-CN" w:bidi="ar-SA"/>
        </w:rPr>
        <w:t>2</w:t>
      </w:r>
      <w:r>
        <w:rPr>
          <w:rFonts w:ascii="Times New Roman" w:hAnsi="Times New Roman" w:eastAsia="宋体" w:cs="Times New Roman"/>
          <w:b/>
          <w:bCs/>
          <w:i/>
          <w:iCs/>
          <w:sz w:val="20"/>
          <w:szCs w:val="28"/>
          <w:u w:val="single"/>
          <w:lang w:val="en-US" w:eastAsia="ko-KR" w:bidi="ar-SA"/>
        </w:rPr>
        <w:t>-</w:t>
      </w:r>
      <w:r>
        <w:rPr>
          <w:rFonts w:hint="eastAsia" w:ascii="Times New Roman" w:hAnsi="Times New Roman" w:eastAsia="宋体" w:cs="Times New Roman"/>
          <w:b/>
          <w:bCs/>
          <w:i/>
          <w:iCs/>
          <w:sz w:val="20"/>
          <w:szCs w:val="28"/>
          <w:u w:val="single"/>
          <w:lang w:val="en-US" w:eastAsia="zh-CN" w:bidi="ar-SA"/>
        </w:rPr>
        <w:t>3</w:t>
      </w:r>
      <w:r>
        <w:rPr>
          <w:rFonts w:ascii="Times New Roman" w:hAnsi="Times New Roman" w:eastAsia="宋体" w:cs="Times New Roman"/>
          <w:b/>
          <w:bCs/>
          <w:i/>
          <w:iCs/>
          <w:sz w:val="20"/>
          <w:szCs w:val="28"/>
          <w:u w:val="single"/>
          <w:lang w:val="en-US" w:eastAsia="ko-KR" w:bidi="ar-SA"/>
        </w:rPr>
        <w:t xml:space="preserve">: </w:t>
      </w:r>
      <w:r>
        <w:rPr>
          <w:rFonts w:ascii="Times New Roman" w:hAnsi="Times New Roman" w:eastAsia="宋体" w:cs="Times New Roman"/>
          <w:b/>
          <w:bCs/>
          <w:i/>
          <w:iCs/>
          <w:sz w:val="20"/>
          <w:szCs w:val="28"/>
          <w:u w:val="single"/>
          <w:lang w:val="en-US" w:eastAsia="zh-CN" w:bidi="ar-SA"/>
        </w:rPr>
        <w:t>Features</w:t>
      </w:r>
      <w:r>
        <w:rPr>
          <w:rFonts w:hint="eastAsia" w:ascii="Times New Roman" w:hAnsi="Times New Roman" w:eastAsia="宋体" w:cs="Times New Roman"/>
          <w:b/>
          <w:bCs/>
          <w:i/>
          <w:iCs/>
          <w:sz w:val="20"/>
          <w:szCs w:val="28"/>
          <w:u w:val="single"/>
          <w:lang w:val="en-US" w:eastAsia="zh-CN" w:bidi="ar-SA"/>
        </w:rPr>
        <w:t xml:space="preserve"> </w:t>
      </w:r>
      <w:r>
        <w:rPr>
          <w:rFonts w:ascii="Times New Roman" w:hAnsi="Times New Roman" w:eastAsia="宋体" w:cs="Times New Roman"/>
          <w:b/>
          <w:bCs/>
          <w:i/>
          <w:iCs/>
          <w:sz w:val="20"/>
          <w:szCs w:val="28"/>
          <w:u w:val="single"/>
          <w:lang w:val="en-US" w:eastAsia="zh-CN" w:bidi="ar-SA"/>
        </w:rPr>
        <w:t xml:space="preserve">to be considered </w:t>
      </w:r>
      <w:r>
        <w:rPr>
          <w:rFonts w:ascii="Times New Roman" w:hAnsi="Times New Roman" w:eastAsia="宋体" w:cs="Times New Roman"/>
          <w:b/>
          <w:bCs/>
          <w:i/>
          <w:iCs/>
          <w:sz w:val="20"/>
          <w:szCs w:val="28"/>
          <w:u w:val="single"/>
          <w:lang w:val="en-US" w:eastAsia="ko-KR" w:bidi="ar-SA"/>
        </w:rPr>
        <w:t>for (e)RedCap UE with FR1-NTN</w:t>
      </w:r>
    </w:p>
    <w:p>
      <w:pPr>
        <w:spacing w:after="180"/>
        <w:rPr>
          <w:rFonts w:eastAsia="宋体"/>
          <w:i/>
          <w:iCs/>
          <w:sz w:val="20"/>
          <w:szCs w:val="20"/>
          <w:lang w:eastAsia="zh-CN"/>
        </w:rPr>
      </w:pPr>
      <w:r>
        <w:rPr>
          <w:rFonts w:eastAsia="宋体"/>
          <w:b/>
          <w:i/>
          <w:iCs/>
          <w:sz w:val="20"/>
          <w:szCs w:val="20"/>
          <w:lang w:eastAsia="en-US"/>
        </w:rPr>
        <w:t>&lt;Way Forward&gt;</w:t>
      </w:r>
    </w:p>
    <w:p>
      <w:pPr>
        <w:keepNext w:val="0"/>
        <w:keepLines w:val="0"/>
        <w:pageBreakBefore w:val="0"/>
        <w:widowControl/>
        <w:numPr>
          <w:ilvl w:val="0"/>
          <w:numId w:val="6"/>
        </w:numPr>
        <w:kinsoku/>
        <w:wordWrap/>
        <w:overflowPunct/>
        <w:topLinePunct w:val="0"/>
        <w:autoSpaceDE/>
        <w:autoSpaceDN/>
        <w:bidi w:val="0"/>
        <w:adjustRightInd/>
        <w:snapToGrid/>
        <w:spacing w:after="60"/>
        <w:ind w:left="72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RAN4 to analyze the RRM requirement impacts from following features for (e)RedCap UE with FR1-NTN case by case: </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1Rx</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FFS: NCD-SSB</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HD-FDD</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FFS: R17 relaxed measurement</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FFS: RRC_IDLE/RRC_INACTIVE mode eDRX enhancement</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FFS: Determine if CSSF and concurrent gap is supported in Redcap NTN</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FFS: FH in PRS measurement</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Single cell search and measurement engine</w:t>
      </w:r>
    </w:p>
    <w:p>
      <w:pPr>
        <w:outlineLvl w:val="9"/>
        <w:rPr>
          <w:rFonts w:hint="eastAsia"/>
          <w:b/>
          <w:i/>
          <w:iCs/>
          <w:sz w:val="20"/>
          <w:szCs w:val="20"/>
          <w:highlight w:val="none"/>
          <w:u w:val="single"/>
          <w:lang w:val="en-US" w:eastAsia="zh-CN"/>
        </w:rPr>
      </w:pPr>
    </w:p>
    <w:p>
      <w:pPr>
        <w:outlineLvl w:val="9"/>
        <w:rPr>
          <w:rFonts w:hint="default"/>
          <w:b/>
          <w:i/>
          <w:iCs/>
          <w:sz w:val="20"/>
          <w:szCs w:val="20"/>
          <w:highlight w:val="none"/>
          <w:u w:val="single"/>
          <w:lang w:val="en-US" w:eastAsia="zh-CN"/>
        </w:rPr>
      </w:pPr>
      <w:r>
        <w:rPr>
          <w:rFonts w:hint="eastAsia"/>
          <w:b/>
          <w:i/>
          <w:iCs/>
          <w:sz w:val="20"/>
          <w:szCs w:val="20"/>
          <w:highlight w:val="none"/>
          <w:u w:val="single"/>
          <w:lang w:val="en-US" w:eastAsia="zh-CN"/>
        </w:rPr>
        <w:t>NCD-SSB</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In R17 Redcap WI, Redcap UE RF+BB bandwidth are limited to 20MHz, while NR cell bandwidth can be 100MHz and only one set of CD-SSB can be configured in each cell. For traffic load balance purpose, the dedicated initial BWP may be configured without CD-SSB. In this case, in order to decrease the complexity of sync and measurement, network could configure NCD-SSB according to different use case and UE capability.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While for FR1 NTN bands, i.e. n254, n255 and n256, the maximum UE channel bandwidth is 30MHz, we believe network could configure the dedicated initial BWP with CD-SSB for sure. Hence, there is no demand to introduce NCD-SSB related design for Redcap over NTN, further, no need to define NCD-SSB specific measurement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b/>
          <w:bCs/>
          <w:i/>
          <w:iCs/>
          <w:sz w:val="20"/>
          <w:szCs w:val="20"/>
          <w:lang w:val="en-US" w:eastAsia="zh-CN"/>
        </w:rPr>
        <w:t>Proposal 4: For Redcap over NTN, no need to define NCD-SSB specific measurement requirements.</w:t>
      </w:r>
    </w:p>
    <w:p>
      <w:pPr>
        <w:outlineLvl w:val="9"/>
        <w:rPr>
          <w:rFonts w:hint="eastAsia"/>
          <w:b/>
          <w:i/>
          <w:iCs/>
          <w:sz w:val="20"/>
          <w:szCs w:val="20"/>
          <w:highlight w:val="none"/>
          <w:u w:val="single"/>
          <w:lang w:val="en-US" w:eastAsia="zh-CN"/>
        </w:rPr>
      </w:pP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zh-CN"/>
        </w:rPr>
        <w:t>R17 relaxed measurement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Rel-17 Redcap UE supports further cell re-selection measurement relaxation. We think such relaxation can be supported in GEO scenario, with super large cell coverage and long service time, the power saving advantage can be maximally utilized.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5: Support Redcap R17 relaxed measurement in GEO deployment scenario.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p>
    <w:p>
      <w:pPr>
        <w:outlineLvl w:val="9"/>
        <w:rPr>
          <w:rFonts w:hint="default"/>
          <w:b/>
          <w:i/>
          <w:iCs/>
          <w:sz w:val="20"/>
          <w:szCs w:val="20"/>
          <w:highlight w:val="none"/>
          <w:u w:val="single"/>
          <w:lang w:val="en-US" w:eastAsia="zh-CN"/>
        </w:rPr>
      </w:pPr>
      <w:r>
        <w:rPr>
          <w:rFonts w:hint="eastAsia"/>
          <w:b/>
          <w:i/>
          <w:iCs/>
          <w:sz w:val="20"/>
          <w:szCs w:val="20"/>
          <w:highlight w:val="none"/>
          <w:u w:val="single"/>
          <w:lang w:val="en-US" w:eastAsia="zh-CN"/>
        </w:rPr>
        <w:t>eDRX</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In R17 Redcap WI, requirements were introduced for eDRX_IDLE up to 10485.76s and eDRX_INACTIVE cycles which up to 10.24 seconds. In R18 eRedcap WI, enhanced requirements were introduced for eDRX_INACTIVE up to 10485.76s.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In R17 and R18 NTN related WI, requirements were introduced for R16 DRX cycle, and 2.56s DRX cycle is not applicable for earth-moving LEO deployment due to limited serving time.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In our understanding, at least in GEO deployment, all eDRX cycle can be supported. In earth-fixed LEO deployment, requirement are applicable for up to 10.24s eDRX cycle. In earth-moving LEO deployment, requirement are not applicable for eDRX cycle.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6: Support eDRX configuration for Redcap over NTN, and define following applicability rule for each deployment scenario: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GEO deployment, all DRX and eDRX cycle can be supported.</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earth-fixed LEO deployment, requirements are applicable for up to 10.24s eDRX cycle</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earth-moving LEO deployment, requirements are not applicable for eDRX cycle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zh-CN"/>
        </w:rPr>
        <w:t>CSSF</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The CSSF is a fundamental parameter for further defining the measurement requirements. For Redcap UE, it has been defined in Clause 9.1A.5 TS 38.133, which only considering NR SA single carrier mode. We think it can be the starting point for CSSF of Redcap over NTN.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7: Define the CSSF for Redcap over NTN, the legacy CSSF for Redcap can be the baseline.</w:t>
      </w:r>
    </w:p>
    <w:p>
      <w:pPr>
        <w:outlineLvl w:val="9"/>
        <w:rPr>
          <w:rFonts w:hint="default"/>
          <w:b/>
          <w:i/>
          <w:iCs/>
          <w:sz w:val="20"/>
          <w:szCs w:val="20"/>
          <w:highlight w:val="none"/>
          <w:u w:val="single"/>
          <w:lang w:val="en-US" w:eastAsia="zh-CN"/>
        </w:rPr>
      </w:pP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zh-CN"/>
        </w:rPr>
        <w:t>Concurrent gap</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Although concurrent gap may need stronger UE capability, considering it is an optional feature, we are fine to consider it for Redcap over NTN. In NTN scenario, the propagation delay difference between cells are usually quite large, concurrent gap can help to enhance the measurement efficiency.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8: Consider concurrent gap for Redcap over NTN.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p>
    <w:p>
      <w:pPr>
        <w:keepNext/>
        <w:keepLines/>
        <w:spacing w:before="120" w:after="120" w:line="240" w:lineRule="auto"/>
        <w:outlineLvl w:val="9"/>
        <w:rPr>
          <w:rFonts w:ascii="Times New Roman" w:hAnsi="Times New Roman" w:eastAsia="宋体" w:cs="Times New Roman"/>
          <w:b/>
          <w:bCs/>
          <w:i/>
          <w:iCs/>
          <w:sz w:val="20"/>
          <w:szCs w:val="20"/>
          <w:u w:val="single"/>
          <w:lang w:val="en-US" w:eastAsia="zh-CN" w:bidi="ar-SA"/>
        </w:rPr>
      </w:pPr>
      <w:r>
        <w:rPr>
          <w:rFonts w:ascii="Times New Roman" w:hAnsi="Times New Roman" w:eastAsia="宋体" w:cs="Times New Roman"/>
          <w:b/>
          <w:bCs/>
          <w:i/>
          <w:iCs/>
          <w:sz w:val="20"/>
          <w:szCs w:val="20"/>
          <w:u w:val="single"/>
          <w:lang w:val="en-US" w:eastAsia="ko-KR" w:bidi="ar-SA"/>
        </w:rPr>
        <w:t xml:space="preserve">Issue </w:t>
      </w:r>
      <w:r>
        <w:rPr>
          <w:rFonts w:hint="eastAsia" w:ascii="Times New Roman" w:hAnsi="Times New Roman" w:eastAsia="宋体" w:cs="Times New Roman"/>
          <w:b/>
          <w:bCs/>
          <w:i/>
          <w:iCs/>
          <w:sz w:val="20"/>
          <w:szCs w:val="20"/>
          <w:u w:val="single"/>
          <w:lang w:val="en-US" w:eastAsia="zh-CN" w:bidi="ar-SA"/>
        </w:rPr>
        <w:t>6</w:t>
      </w:r>
      <w:r>
        <w:rPr>
          <w:rFonts w:ascii="Times New Roman" w:hAnsi="Times New Roman" w:eastAsia="宋体" w:cs="Times New Roman"/>
          <w:b/>
          <w:bCs/>
          <w:i/>
          <w:iCs/>
          <w:sz w:val="20"/>
          <w:szCs w:val="20"/>
          <w:u w:val="single"/>
          <w:lang w:val="en-US" w:eastAsia="ko-KR" w:bidi="ar-SA"/>
        </w:rPr>
        <w:t>-</w:t>
      </w:r>
      <w:r>
        <w:rPr>
          <w:rFonts w:hint="eastAsia" w:ascii="Times New Roman" w:hAnsi="Times New Roman" w:eastAsia="宋体" w:cs="Times New Roman"/>
          <w:b/>
          <w:bCs/>
          <w:i/>
          <w:iCs/>
          <w:sz w:val="20"/>
          <w:szCs w:val="20"/>
          <w:u w:val="single"/>
          <w:lang w:val="en-US" w:eastAsia="zh-CN" w:bidi="ar-SA"/>
        </w:rPr>
        <w:t>3-2</w:t>
      </w:r>
      <w:r>
        <w:rPr>
          <w:rFonts w:ascii="Times New Roman" w:hAnsi="Times New Roman" w:eastAsia="宋体" w:cs="Times New Roman"/>
          <w:b/>
          <w:bCs/>
          <w:i/>
          <w:iCs/>
          <w:sz w:val="20"/>
          <w:szCs w:val="20"/>
          <w:u w:val="single"/>
          <w:lang w:val="en-US" w:eastAsia="ko-KR" w:bidi="ar-SA"/>
        </w:rPr>
        <w:t xml:space="preserve">: </w:t>
      </w:r>
      <w:r>
        <w:rPr>
          <w:rFonts w:hint="eastAsia" w:ascii="Times New Roman" w:hAnsi="Times New Roman" w:eastAsia="宋体" w:cs="Times New Roman"/>
          <w:b/>
          <w:bCs/>
          <w:i/>
          <w:iCs/>
          <w:sz w:val="20"/>
          <w:szCs w:val="20"/>
          <w:u w:val="single"/>
          <w:lang w:val="en-US" w:eastAsia="zh-CN" w:bidi="ar-SA"/>
        </w:rPr>
        <w:t xml:space="preserve">How to relax the </w:t>
      </w:r>
      <w:r>
        <w:rPr>
          <w:rFonts w:ascii="Times New Roman" w:hAnsi="Times New Roman" w:eastAsia="宋体" w:cs="Times New Roman"/>
          <w:b/>
          <w:bCs/>
          <w:i/>
          <w:iCs/>
          <w:sz w:val="20"/>
          <w:szCs w:val="20"/>
          <w:u w:val="single"/>
          <w:lang w:val="en-US" w:eastAsia="zh-CN" w:bidi="ar-SA"/>
        </w:rPr>
        <w:t xml:space="preserve">requirements </w:t>
      </w:r>
      <w:r>
        <w:rPr>
          <w:rFonts w:hint="eastAsia" w:ascii="Times New Roman" w:hAnsi="Times New Roman" w:eastAsia="宋体" w:cs="Times New Roman"/>
          <w:b/>
          <w:bCs/>
          <w:i/>
          <w:iCs/>
          <w:sz w:val="20"/>
          <w:szCs w:val="20"/>
          <w:u w:val="single"/>
          <w:lang w:val="en-US" w:eastAsia="zh-CN" w:bidi="ar-SA"/>
        </w:rPr>
        <w:t>f</w:t>
      </w:r>
      <w:r>
        <w:rPr>
          <w:rFonts w:ascii="Times New Roman" w:hAnsi="Times New Roman" w:eastAsia="宋体" w:cs="Times New Roman"/>
          <w:b/>
          <w:bCs/>
          <w:i/>
          <w:iCs/>
          <w:sz w:val="20"/>
          <w:szCs w:val="20"/>
          <w:u w:val="single"/>
          <w:lang w:val="en-US" w:eastAsia="zh-CN" w:bidi="ar-SA"/>
        </w:rPr>
        <w:t>or 1Rx (e)RedCap UEs with FR1-NTN</w:t>
      </w:r>
      <w:r>
        <w:rPr>
          <w:rFonts w:hint="eastAsia" w:ascii="Times New Roman" w:hAnsi="Times New Roman" w:eastAsia="宋体" w:cs="Times New Roman"/>
          <w:b/>
          <w:bCs/>
          <w:i/>
          <w:iCs/>
          <w:sz w:val="20"/>
          <w:szCs w:val="20"/>
          <w:u w:val="single"/>
          <w:lang w:val="en-US" w:eastAsia="zh-CN" w:bidi="ar-SA"/>
        </w:rPr>
        <w:t xml:space="preserve"> ?</w:t>
      </w:r>
    </w:p>
    <w:p>
      <w:pPr>
        <w:spacing w:after="180"/>
        <w:rPr>
          <w:rFonts w:eastAsia="宋体"/>
          <w:b/>
          <w:bCs/>
          <w:i/>
          <w:iCs/>
          <w:sz w:val="20"/>
          <w:szCs w:val="20"/>
          <w:lang w:val="en-GB" w:eastAsia="zh-CN"/>
        </w:rPr>
      </w:pPr>
      <w:bookmarkStart w:id="13" w:name="OLE_LINK67"/>
      <w:bookmarkStart w:id="14" w:name="OLE_LINK68"/>
      <w:r>
        <w:rPr>
          <w:rFonts w:eastAsia="宋体"/>
          <w:b/>
          <w:i/>
          <w:iCs/>
          <w:sz w:val="20"/>
          <w:szCs w:val="20"/>
          <w:lang w:eastAsia="en-US"/>
        </w:rPr>
        <w:t xml:space="preserve">&lt;Way Forward&gt; </w:t>
      </w:r>
      <w:r>
        <w:rPr>
          <w:rFonts w:hint="eastAsia" w:eastAsia="宋体"/>
          <w:b/>
          <w:i/>
          <w:iCs/>
          <w:sz w:val="20"/>
          <w:szCs w:val="20"/>
          <w:lang w:eastAsia="zh-CN"/>
        </w:rPr>
        <w:t>:</w:t>
      </w:r>
      <w:r>
        <w:rPr>
          <w:rFonts w:eastAsia="宋体"/>
          <w:b/>
          <w:bCs/>
          <w:i/>
          <w:iCs/>
          <w:sz w:val="20"/>
          <w:szCs w:val="20"/>
          <w:lang w:eastAsia="en-US"/>
        </w:rPr>
        <w:t xml:space="preserve"> Further discuss the following proposal</w:t>
      </w:r>
    </w:p>
    <w:bookmarkEnd w:id="13"/>
    <w:bookmarkEnd w:id="14"/>
    <w:p>
      <w:pPr>
        <w:keepNext w:val="0"/>
        <w:keepLines w:val="0"/>
        <w:pageBreakBefore w:val="0"/>
        <w:widowControl/>
        <w:numPr>
          <w:ilvl w:val="0"/>
          <w:numId w:val="6"/>
        </w:numPr>
        <w:kinsoku/>
        <w:wordWrap/>
        <w:overflowPunct/>
        <w:topLinePunct w:val="0"/>
        <w:autoSpaceDE/>
        <w:autoSpaceDN/>
        <w:bidi w:val="0"/>
        <w:adjustRightInd/>
        <w:snapToGrid/>
        <w:spacing w:after="60"/>
        <w:ind w:left="72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Proposal 1 (vivo, ZTE): </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Introduce corresponding RRM requirements for 1 Rx and current requirements for Redcap UE with 1Rx can be the reference. </w:t>
      </w:r>
    </w:p>
    <w:p>
      <w:pPr>
        <w:keepNext w:val="0"/>
        <w:keepLines w:val="0"/>
        <w:pageBreakBefore w:val="0"/>
        <w:widowControl/>
        <w:numPr>
          <w:ilvl w:val="0"/>
          <w:numId w:val="6"/>
        </w:numPr>
        <w:kinsoku/>
        <w:wordWrap/>
        <w:overflowPunct/>
        <w:topLinePunct w:val="0"/>
        <w:autoSpaceDE/>
        <w:autoSpaceDN/>
        <w:bidi w:val="0"/>
        <w:adjustRightInd/>
        <w:snapToGrid/>
        <w:spacing w:after="60"/>
        <w:ind w:left="72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Proposal 2 (Xiaomi): </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For 1RX RedCap: Relax measurement requirements from the aspects of extending the number of measurement samples or relaxing the measurement accuracy.</w:t>
      </w:r>
    </w:p>
    <w:p>
      <w:pPr>
        <w:keepNext w:val="0"/>
        <w:keepLines w:val="0"/>
        <w:pageBreakBefore w:val="0"/>
        <w:widowControl/>
        <w:numPr>
          <w:ilvl w:val="0"/>
          <w:numId w:val="6"/>
        </w:numPr>
        <w:kinsoku/>
        <w:wordWrap/>
        <w:overflowPunct/>
        <w:topLinePunct w:val="0"/>
        <w:autoSpaceDE/>
        <w:autoSpaceDN/>
        <w:bidi w:val="0"/>
        <w:adjustRightInd/>
        <w:snapToGrid/>
        <w:spacing w:after="60"/>
        <w:ind w:left="72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Proposal 3 (ZTE): </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RAN4 shall define the Qout requirements for RedCap UEs in FR1-NTN bands. The evaluation period for 2Rx shall be reused and the evaluation period shall be extended for 1Rx by factor 2. Qin shall be reused. </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RAN4 shall reuse the 1dB offset as legacy for 1Rx RedCap UE in NR NTN.</w:t>
      </w:r>
    </w:p>
    <w:p>
      <w:pPr>
        <w:keepNext w:val="0"/>
        <w:keepLines w:val="0"/>
        <w:pageBreakBefore w:val="0"/>
        <w:widowControl/>
        <w:numPr>
          <w:ilvl w:val="0"/>
          <w:numId w:val="6"/>
        </w:numPr>
        <w:kinsoku/>
        <w:wordWrap/>
        <w:overflowPunct/>
        <w:topLinePunct w:val="0"/>
        <w:autoSpaceDE/>
        <w:autoSpaceDN/>
        <w:bidi w:val="0"/>
        <w:adjustRightInd/>
        <w:snapToGrid/>
        <w:spacing w:after="60"/>
        <w:ind w:left="72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Proposal 4 (QC): </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For 1Rx RedCap NTN UE, RAN4 to adopt the same requirement relaxations and modifications as follows: </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Extended delays for PSS/SSS detection and SSB index identification (PBCH decoding)</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Handover delay Extension</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Extended RLM OOS and BFD evaluation periods</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Aggregation level of 16 for RLM/BFD hypothetical PDCCH parameters</w:t>
      </w:r>
    </w:p>
    <w:p>
      <w:pPr>
        <w:keepNext w:val="0"/>
        <w:keepLines w:val="0"/>
        <w:pageBreakBefore w:val="0"/>
        <w:widowControl/>
        <w:numPr>
          <w:ilvl w:val="2"/>
          <w:numId w:val="6"/>
        </w:numPr>
        <w:kinsoku/>
        <w:wordWrap/>
        <w:overflowPunct/>
        <w:topLinePunct w:val="0"/>
        <w:autoSpaceDE/>
        <w:autoSpaceDN/>
        <w:bidi w:val="0"/>
        <w:adjustRightInd/>
        <w:snapToGrid/>
        <w:spacing w:after="60"/>
        <w:ind w:left="156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Measurement accuracy relaxation for SS-RSRP, SS-RSRQ, SS-SINR, L1-RSRP</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Generally, the current relaxation methodology for Redcap UE with 1Rx can be the reference. Specifically, the relaxation including:</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1dB offset for RSRP/RSRQ side conditions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b w:val="0"/>
          <w:bCs w:val="0"/>
          <w:i w:val="0"/>
          <w:iCs w:val="0"/>
          <w:sz w:val="20"/>
          <w:szCs w:val="20"/>
          <w:lang w:val="en-US" w:eastAsia="zh-CN"/>
        </w:rPr>
      </w:pPr>
      <w:r>
        <w:rPr>
          <w:rFonts w:hint="default"/>
          <w:b w:val="0"/>
          <w:bCs w:val="0"/>
          <w:i w:val="0"/>
          <w:iCs w:val="0"/>
          <w:sz w:val="20"/>
          <w:szCs w:val="20"/>
          <w:lang w:val="en-US" w:eastAsia="zh-CN"/>
        </w:rPr>
        <w:t>Extended delays for PSS/SSS detection and SSB index identification</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b w:val="0"/>
          <w:bCs w:val="0"/>
          <w:i w:val="0"/>
          <w:iCs w:val="0"/>
          <w:sz w:val="20"/>
          <w:szCs w:val="20"/>
          <w:lang w:val="en-US" w:eastAsia="zh-CN"/>
        </w:rPr>
      </w:pPr>
      <w:r>
        <w:rPr>
          <w:rFonts w:hint="default"/>
          <w:b w:val="0"/>
          <w:bCs w:val="0"/>
          <w:i w:val="0"/>
          <w:iCs w:val="0"/>
          <w:sz w:val="20"/>
          <w:szCs w:val="20"/>
          <w:lang w:val="en-US" w:eastAsia="zh-CN"/>
        </w:rPr>
        <w:t>Handover delay Extension</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b w:val="0"/>
          <w:bCs w:val="0"/>
          <w:i w:val="0"/>
          <w:iCs w:val="0"/>
          <w:sz w:val="20"/>
          <w:szCs w:val="20"/>
          <w:lang w:val="en-US" w:eastAsia="zh-CN"/>
        </w:rPr>
      </w:pPr>
      <w:r>
        <w:rPr>
          <w:rFonts w:hint="default"/>
          <w:b w:val="0"/>
          <w:bCs w:val="0"/>
          <w:i w:val="0"/>
          <w:iCs w:val="0"/>
          <w:sz w:val="20"/>
          <w:szCs w:val="20"/>
          <w:lang w:val="en-US" w:eastAsia="zh-CN"/>
        </w:rPr>
        <w:t>Extended RLM OOS and BFD evaluation periods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b w:val="0"/>
          <w:bCs w:val="0"/>
          <w:i w:val="0"/>
          <w:iCs w:val="0"/>
          <w:sz w:val="20"/>
          <w:szCs w:val="20"/>
          <w:lang w:val="en-US" w:eastAsia="zh-CN"/>
        </w:rPr>
      </w:pPr>
      <w:r>
        <w:rPr>
          <w:rFonts w:hint="default"/>
          <w:b w:val="0"/>
          <w:bCs w:val="0"/>
          <w:i w:val="0"/>
          <w:iCs w:val="0"/>
          <w:sz w:val="20"/>
          <w:szCs w:val="20"/>
          <w:lang w:val="en-US" w:eastAsia="zh-CN"/>
        </w:rPr>
        <w:t>Aggregation level of 16 for RLM/BFD hypothetical PDCCH parameters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b w:val="0"/>
          <w:bCs w:val="0"/>
          <w:i w:val="0"/>
          <w:iCs w:val="0"/>
          <w:sz w:val="20"/>
          <w:szCs w:val="20"/>
          <w:lang w:val="en-US" w:eastAsia="zh-CN"/>
        </w:rPr>
      </w:pPr>
      <w:r>
        <w:rPr>
          <w:rFonts w:hint="default"/>
          <w:b w:val="0"/>
          <w:bCs w:val="0"/>
          <w:i w:val="0"/>
          <w:iCs w:val="0"/>
          <w:sz w:val="20"/>
          <w:szCs w:val="20"/>
          <w:lang w:val="en-US" w:eastAsia="zh-CN"/>
        </w:rPr>
        <w:t>Measurement accuracy relaxation for SS-RSRP, SS-RSRQ, SS-SINR, L1-RSRP</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9: the current relaxation methodology for Redcap UE with 1Rx can be the reference.</w:t>
      </w:r>
    </w:p>
    <w:p>
      <w:pPr>
        <w:keepNext w:val="0"/>
        <w:keepLines w:val="0"/>
        <w:pageBreakBefore w:val="0"/>
        <w:widowControl/>
        <w:numPr>
          <w:ilvl w:val="0"/>
          <w:numId w:val="0"/>
        </w:numPr>
        <w:kinsoku/>
        <w:wordWrap/>
        <w:overflowPunct/>
        <w:topLinePunct w:val="0"/>
        <w:autoSpaceDE/>
        <w:autoSpaceDN/>
        <w:bidi w:val="0"/>
        <w:adjustRightInd/>
        <w:snapToGrid/>
        <w:spacing w:after="60"/>
        <w:contextualSpacing w:val="0"/>
        <w:textAlignment w:val="auto"/>
        <w:rPr>
          <w:rFonts w:hint="eastAsia" w:ascii="Times New Roman" w:hAnsi="Times New Roman" w:eastAsia="宋体" w:cs="Times New Roman"/>
          <w:i/>
          <w:iCs/>
          <w:sz w:val="20"/>
          <w:szCs w:val="20"/>
          <w:lang w:val="en-US" w:eastAsia="zh-CN" w:bidi="ar-SA"/>
        </w:rPr>
      </w:pPr>
    </w:p>
    <w:p>
      <w:pPr>
        <w:keepNext/>
        <w:keepLines/>
        <w:spacing w:before="120" w:after="120" w:line="240" w:lineRule="auto"/>
        <w:outlineLvl w:val="9"/>
        <w:rPr>
          <w:rFonts w:ascii="Times New Roman" w:hAnsi="Times New Roman" w:eastAsia="宋体" w:cs="Times New Roman"/>
          <w:b/>
          <w:bCs/>
          <w:i/>
          <w:iCs/>
          <w:sz w:val="20"/>
          <w:szCs w:val="20"/>
          <w:u w:val="single"/>
          <w:lang w:val="en-US" w:eastAsia="zh-CN" w:bidi="ar-SA"/>
        </w:rPr>
      </w:pPr>
      <w:r>
        <w:rPr>
          <w:rFonts w:ascii="Times New Roman" w:hAnsi="Times New Roman" w:eastAsia="宋体" w:cs="Times New Roman"/>
          <w:b/>
          <w:bCs/>
          <w:i/>
          <w:iCs/>
          <w:sz w:val="20"/>
          <w:szCs w:val="20"/>
          <w:u w:val="single"/>
          <w:lang w:val="en-US" w:eastAsia="ko-KR" w:bidi="ar-SA"/>
        </w:rPr>
        <w:t xml:space="preserve">Issue </w:t>
      </w:r>
      <w:r>
        <w:rPr>
          <w:rFonts w:hint="eastAsia" w:ascii="Times New Roman" w:hAnsi="Times New Roman" w:eastAsia="宋体" w:cs="Times New Roman"/>
          <w:b/>
          <w:bCs/>
          <w:i/>
          <w:iCs/>
          <w:sz w:val="20"/>
          <w:szCs w:val="20"/>
          <w:u w:val="single"/>
          <w:lang w:val="en-US" w:eastAsia="ko-KR" w:bidi="ar-SA"/>
        </w:rPr>
        <w:t>6</w:t>
      </w:r>
      <w:r>
        <w:rPr>
          <w:rFonts w:ascii="Times New Roman" w:hAnsi="Times New Roman" w:eastAsia="宋体" w:cs="Times New Roman"/>
          <w:b/>
          <w:bCs/>
          <w:i/>
          <w:iCs/>
          <w:sz w:val="20"/>
          <w:szCs w:val="20"/>
          <w:u w:val="single"/>
          <w:lang w:val="en-US" w:eastAsia="ko-KR" w:bidi="ar-SA"/>
        </w:rPr>
        <w:t>-</w:t>
      </w:r>
      <w:r>
        <w:rPr>
          <w:rFonts w:hint="eastAsia" w:ascii="Times New Roman" w:hAnsi="Times New Roman" w:eastAsia="宋体" w:cs="Times New Roman"/>
          <w:b/>
          <w:bCs/>
          <w:i/>
          <w:iCs/>
          <w:sz w:val="20"/>
          <w:szCs w:val="20"/>
          <w:u w:val="single"/>
          <w:lang w:val="en-US" w:eastAsia="zh-CN" w:bidi="ar-SA"/>
        </w:rPr>
        <w:t>4</w:t>
      </w:r>
      <w:r>
        <w:rPr>
          <w:rFonts w:ascii="Times New Roman" w:hAnsi="Times New Roman" w:eastAsia="宋体" w:cs="Times New Roman"/>
          <w:b/>
          <w:bCs/>
          <w:i/>
          <w:iCs/>
          <w:sz w:val="20"/>
          <w:szCs w:val="20"/>
          <w:u w:val="single"/>
          <w:lang w:val="en-US" w:eastAsia="ko-KR" w:bidi="ar-SA"/>
        </w:rPr>
        <w:t>-</w:t>
      </w:r>
      <w:r>
        <w:rPr>
          <w:rFonts w:hint="eastAsia" w:ascii="Times New Roman" w:hAnsi="Times New Roman" w:eastAsia="宋体" w:cs="Times New Roman"/>
          <w:b/>
          <w:bCs/>
          <w:i/>
          <w:iCs/>
          <w:sz w:val="20"/>
          <w:szCs w:val="20"/>
          <w:u w:val="single"/>
          <w:lang w:val="en-US" w:eastAsia="zh-CN" w:bidi="ar-SA"/>
        </w:rPr>
        <w:t>1</w:t>
      </w:r>
      <w:r>
        <w:rPr>
          <w:rFonts w:ascii="Times New Roman" w:hAnsi="Times New Roman" w:eastAsia="宋体" w:cs="Times New Roman"/>
          <w:b/>
          <w:bCs/>
          <w:i/>
          <w:iCs/>
          <w:sz w:val="20"/>
          <w:szCs w:val="20"/>
          <w:u w:val="single"/>
          <w:lang w:val="en-US" w:eastAsia="ko-KR" w:bidi="ar-SA"/>
        </w:rPr>
        <w:t xml:space="preserve">: </w:t>
      </w:r>
      <w:r>
        <w:rPr>
          <w:rFonts w:hint="eastAsia" w:ascii="Times New Roman" w:hAnsi="Times New Roman" w:eastAsia="宋体" w:cs="Times New Roman"/>
          <w:b/>
          <w:bCs/>
          <w:i/>
          <w:iCs/>
          <w:sz w:val="20"/>
          <w:szCs w:val="20"/>
          <w:u w:val="single"/>
          <w:lang w:val="en-US" w:eastAsia="zh-CN" w:bidi="ar-SA"/>
        </w:rPr>
        <w:t xml:space="preserve">The specific impact of HD-FDD for </w:t>
      </w:r>
      <w:r>
        <w:rPr>
          <w:rFonts w:ascii="Times New Roman" w:hAnsi="Times New Roman" w:eastAsia="宋体" w:cs="Times New Roman"/>
          <w:b/>
          <w:bCs/>
          <w:i/>
          <w:iCs/>
          <w:sz w:val="20"/>
          <w:szCs w:val="20"/>
          <w:u w:val="single"/>
          <w:lang w:val="en-US" w:eastAsia="zh-CN" w:bidi="ar-SA"/>
        </w:rPr>
        <w:t>(e)Redcap UE with FR1-NTN</w:t>
      </w:r>
    </w:p>
    <w:p>
      <w:pPr>
        <w:spacing w:after="180"/>
        <w:rPr>
          <w:rFonts w:eastAsia="宋体"/>
          <w:b/>
          <w:i/>
          <w:iCs/>
          <w:sz w:val="20"/>
          <w:szCs w:val="20"/>
          <w:lang w:eastAsia="zh-CN"/>
        </w:rPr>
      </w:pPr>
      <w:r>
        <w:rPr>
          <w:rFonts w:eastAsia="宋体"/>
          <w:b/>
          <w:i/>
          <w:iCs/>
          <w:sz w:val="20"/>
          <w:szCs w:val="20"/>
          <w:lang w:eastAsia="en-US"/>
        </w:rPr>
        <w:t>&lt;Agreement&gt;</w:t>
      </w:r>
    </w:p>
    <w:p>
      <w:pPr>
        <w:keepNext w:val="0"/>
        <w:keepLines w:val="0"/>
        <w:pageBreakBefore w:val="0"/>
        <w:widowControl/>
        <w:numPr>
          <w:ilvl w:val="0"/>
          <w:numId w:val="6"/>
        </w:numPr>
        <w:kinsoku/>
        <w:wordWrap/>
        <w:overflowPunct/>
        <w:topLinePunct w:val="0"/>
        <w:autoSpaceDE/>
        <w:autoSpaceDN/>
        <w:bidi w:val="0"/>
        <w:adjustRightInd/>
        <w:snapToGrid/>
        <w:spacing w:after="60"/>
        <w:ind w:left="72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RAN4 to consider the impact of HD-FDD for (e)Redcap UE with FR1-NTN.</w:t>
      </w:r>
    </w:p>
    <w:p>
      <w:pPr>
        <w:keepNext w:val="0"/>
        <w:keepLines w:val="0"/>
        <w:pageBreakBefore w:val="0"/>
        <w:widowControl/>
        <w:numPr>
          <w:ilvl w:val="1"/>
          <w:numId w:val="6"/>
        </w:numPr>
        <w:kinsoku/>
        <w:wordWrap/>
        <w:overflowPunct/>
        <w:topLinePunct w:val="0"/>
        <w:autoSpaceDE/>
        <w:autoSpaceDN/>
        <w:bidi w:val="0"/>
        <w:adjustRightInd/>
        <w:snapToGrid/>
        <w:spacing w:after="60"/>
        <w:ind w:left="1140" w:leftChars="0" w:hanging="363"/>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The TN HD-FDD related requirements and applicable conditions defined for (e)RedCap UE can be used as a starting point, and RAN4 take into account NTN specific aspects if any.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For NTN specific aspects, the DL and UL collision error due to mismatch between actual TA used by UE and assumed TA at the gNB may need to further considered. RAN1 is discussing the solutions and TA reporting enhancement, which may impact Scheduling availability requirement, we can wait for more progress. The current progress is listed for information: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rFonts w:ascii="Times New Roman" w:hAnsi="Times New Roman"/>
                <w:b/>
                <w:bCs/>
                <w:sz w:val="20"/>
                <w:szCs w:val="15"/>
                <w:lang w:val="en-US" w:eastAsia="ko-KR"/>
              </w:rPr>
            </w:pPr>
            <w:r>
              <w:rPr>
                <w:rFonts w:ascii="Times New Roman" w:hAnsi="Times New Roman"/>
                <w:b/>
                <w:bCs/>
                <w:sz w:val="20"/>
                <w:szCs w:val="15"/>
                <w:highlight w:val="green"/>
                <w:lang w:val="en-US" w:eastAsia="ko-KR"/>
              </w:rPr>
              <w:t>Agreement</w:t>
            </w:r>
          </w:p>
          <w:p>
            <w:pPr>
              <w:rPr>
                <w:rFonts w:ascii="Times New Roman" w:hAnsi="Times New Roman" w:eastAsia="宋体"/>
                <w:sz w:val="20"/>
                <w:szCs w:val="15"/>
                <w:lang w:eastAsia="zh-CN"/>
              </w:rPr>
            </w:pPr>
            <w:r>
              <w:rPr>
                <w:rFonts w:ascii="Times New Roman" w:hAnsi="Times New Roman" w:eastAsia="宋体"/>
                <w:sz w:val="20"/>
                <w:szCs w:val="15"/>
                <w:lang w:eastAsia="zh-CN"/>
              </w:rPr>
              <w:t>The collision case 3 (</w:t>
            </w:r>
            <w:r>
              <w:rPr>
                <w:rFonts w:ascii="Times New Roman" w:hAnsi="Times New Roman"/>
                <w:kern w:val="2"/>
                <w:sz w:val="20"/>
                <w:szCs w:val="15"/>
              </w:rPr>
              <w:t xml:space="preserve">Semi-statically configured DL reception </w:t>
            </w:r>
            <w:r>
              <w:rPr>
                <w:rFonts w:ascii="Times New Roman" w:hAnsi="Times New Roman"/>
                <w:kern w:val="2"/>
                <w:sz w:val="20"/>
                <w:szCs w:val="15"/>
                <w:lang w:eastAsia="zh-CN"/>
              </w:rPr>
              <w:t xml:space="preserve">collides with </w:t>
            </w:r>
            <w:r>
              <w:rPr>
                <w:rFonts w:ascii="Times New Roman" w:hAnsi="Times New Roman"/>
                <w:kern w:val="2"/>
                <w:sz w:val="20"/>
                <w:szCs w:val="15"/>
              </w:rPr>
              <w:t>semi-statically configured UL transmission</w:t>
            </w:r>
            <w:r>
              <w:rPr>
                <w:rFonts w:ascii="Times New Roman" w:hAnsi="Times New Roman" w:eastAsia="宋体"/>
                <w:sz w:val="20"/>
                <w:szCs w:val="15"/>
                <w:lang w:eastAsia="zh-CN"/>
              </w:rPr>
              <w:t>) can’t be assumed as error case. When the collision happens at UE side for collision case 3, one of the following options on priority rules is supported.</w:t>
            </w:r>
          </w:p>
          <w:p>
            <w:pPr>
              <w:pStyle w:val="75"/>
              <w:numPr>
                <w:ilvl w:val="0"/>
                <w:numId w:val="8"/>
              </w:numPr>
              <w:suppressAutoHyphens/>
              <w:ind w:leftChars="0"/>
              <w:rPr>
                <w:rFonts w:ascii="Times New Roman" w:hAnsi="Times New Roman" w:eastAsia="宋体"/>
                <w:sz w:val="20"/>
                <w:szCs w:val="15"/>
                <w:lang w:eastAsia="zh-CN"/>
              </w:rPr>
            </w:pPr>
            <w:r>
              <w:rPr>
                <w:rFonts w:ascii="Times New Roman" w:hAnsi="Times New Roman" w:eastAsia="宋体"/>
                <w:sz w:val="20"/>
                <w:szCs w:val="15"/>
                <w:lang w:eastAsia="zh-CN"/>
              </w:rPr>
              <w:t xml:space="preserve">Option A: the priority of keeping one direction and overriding another direction is based on different use cases (e.g. the collision happening in different channel types or different scheduling cases) without </w:t>
            </w:r>
            <w:r>
              <w:rPr>
                <w:rFonts w:ascii="Times New Roman" w:hAnsi="Times New Roman"/>
                <w:sz w:val="20"/>
                <w:szCs w:val="15"/>
              </w:rPr>
              <w:t>network</w:t>
            </w:r>
            <w:r>
              <w:rPr>
                <w:rFonts w:ascii="Times New Roman" w:hAnsi="Times New Roman" w:eastAsia="宋体"/>
                <w:sz w:val="20"/>
                <w:szCs w:val="15"/>
                <w:lang w:eastAsia="zh-CN"/>
              </w:rPr>
              <w:t xml:space="preserve"> </w:t>
            </w:r>
            <w:r>
              <w:rPr>
                <w:rFonts w:ascii="Times New Roman" w:hAnsi="Times New Roman"/>
                <w:sz w:val="20"/>
                <w:szCs w:val="15"/>
              </w:rPr>
              <w:t>signalling</w:t>
            </w:r>
          </w:p>
          <w:p>
            <w:pPr>
              <w:pStyle w:val="75"/>
              <w:numPr>
                <w:ilvl w:val="1"/>
                <w:numId w:val="8"/>
              </w:numPr>
              <w:suppressAutoHyphens/>
              <w:ind w:leftChars="0"/>
              <w:rPr>
                <w:rFonts w:ascii="Times New Roman" w:hAnsi="Times New Roman" w:eastAsia="宋体"/>
                <w:sz w:val="20"/>
                <w:szCs w:val="15"/>
                <w:lang w:eastAsia="zh-CN"/>
              </w:rPr>
            </w:pPr>
            <w:r>
              <w:rPr>
                <w:rFonts w:ascii="Times New Roman" w:hAnsi="Times New Roman" w:eastAsia="宋体"/>
                <w:sz w:val="20"/>
                <w:szCs w:val="15"/>
                <w:lang w:eastAsia="zh-CN"/>
              </w:rPr>
              <w:t>It is not precluded that some or all use cases are left to UE implementation regarding whether DL reception or UL transmission is dropped</w:t>
            </w:r>
          </w:p>
          <w:p>
            <w:pPr>
              <w:pStyle w:val="75"/>
              <w:numPr>
                <w:ilvl w:val="1"/>
                <w:numId w:val="8"/>
              </w:numPr>
              <w:suppressAutoHyphens/>
              <w:ind w:leftChars="0"/>
              <w:rPr>
                <w:rFonts w:ascii="Times New Roman" w:hAnsi="Times New Roman" w:eastAsia="宋体"/>
                <w:sz w:val="20"/>
                <w:szCs w:val="15"/>
                <w:lang w:eastAsia="zh-CN"/>
              </w:rPr>
            </w:pPr>
            <w:r>
              <w:rPr>
                <w:rFonts w:ascii="Times New Roman" w:hAnsi="Times New Roman" w:eastAsia="宋体"/>
                <w:sz w:val="20"/>
                <w:szCs w:val="15"/>
                <w:lang w:eastAsia="zh-CN"/>
              </w:rPr>
              <w:t>Note: it is not precluded that the same direction is prioritized for all different use cases</w:t>
            </w:r>
          </w:p>
          <w:p>
            <w:pPr>
              <w:pStyle w:val="75"/>
              <w:numPr>
                <w:ilvl w:val="0"/>
                <w:numId w:val="8"/>
              </w:numPr>
              <w:suppressAutoHyphens/>
              <w:ind w:leftChars="0"/>
              <w:rPr>
                <w:rFonts w:ascii="Times New Roman" w:hAnsi="Times New Roman"/>
                <w:sz w:val="20"/>
                <w:szCs w:val="15"/>
                <w:lang w:eastAsia="en-US"/>
              </w:rPr>
            </w:pPr>
            <w:r>
              <w:rPr>
                <w:rFonts w:ascii="Times New Roman" w:hAnsi="Times New Roman" w:eastAsia="宋体"/>
                <w:sz w:val="20"/>
                <w:szCs w:val="15"/>
                <w:lang w:eastAsia="zh-CN"/>
              </w:rPr>
              <w:t>Option B: network indicates the priority configuration to the UE</w:t>
            </w:r>
          </w:p>
          <w:p>
            <w:pPr>
              <w:pStyle w:val="75"/>
              <w:numPr>
                <w:ilvl w:val="1"/>
                <w:numId w:val="8"/>
              </w:numPr>
              <w:suppressAutoHyphens/>
              <w:ind w:leftChars="0"/>
              <w:rPr>
                <w:rFonts w:ascii="Times New Roman" w:hAnsi="Times New Roman" w:eastAsia="宋体"/>
                <w:sz w:val="20"/>
                <w:szCs w:val="15"/>
                <w:lang w:eastAsia="zh-CN"/>
              </w:rPr>
            </w:pPr>
            <w:r>
              <w:rPr>
                <w:rFonts w:ascii="Times New Roman" w:hAnsi="Times New Roman" w:eastAsia="宋体"/>
                <w:sz w:val="20"/>
                <w:szCs w:val="15"/>
                <w:lang w:eastAsia="zh-CN"/>
              </w:rPr>
              <w:t>It is not precluded that some use cases are left to UE implementation regarding whether DL reception or UL transmission is dropped</w:t>
            </w:r>
          </w:p>
          <w:p>
            <w:pPr>
              <w:pStyle w:val="75"/>
              <w:numPr>
                <w:ilvl w:val="1"/>
                <w:numId w:val="8"/>
              </w:numPr>
              <w:suppressAutoHyphens/>
              <w:ind w:leftChars="0"/>
              <w:rPr>
                <w:rFonts w:ascii="Times New Roman" w:hAnsi="Times New Roman" w:eastAsia="宋体"/>
                <w:sz w:val="20"/>
                <w:szCs w:val="15"/>
                <w:lang w:eastAsia="zh-CN"/>
              </w:rPr>
            </w:pPr>
            <w:r>
              <w:rPr>
                <w:rFonts w:ascii="Times New Roman" w:hAnsi="Times New Roman" w:eastAsia="宋体"/>
                <w:sz w:val="20"/>
                <w:szCs w:val="15"/>
                <w:lang w:eastAsia="zh-CN"/>
              </w:rPr>
              <w:t>It is not precluded to define default rules, if necessary</w:t>
            </w:r>
          </w:p>
          <w:p>
            <w:pPr>
              <w:rPr>
                <w:sz w:val="20"/>
                <w:szCs w:val="20"/>
                <w:lang w:eastAsia="ko-KR"/>
              </w:rPr>
            </w:pPr>
          </w:p>
          <w:p>
            <w:pPr>
              <w:adjustRightInd w:val="0"/>
              <w:snapToGrid w:val="0"/>
              <w:rPr>
                <w:rFonts w:eastAsia="宋体"/>
                <w:b/>
                <w:bCs/>
                <w:sz w:val="20"/>
                <w:szCs w:val="15"/>
                <w:highlight w:val="green"/>
                <w:lang w:eastAsia="zh-CN"/>
              </w:rPr>
            </w:pPr>
            <w:r>
              <w:rPr>
                <w:rFonts w:eastAsia="宋体"/>
                <w:b/>
                <w:bCs/>
                <w:sz w:val="20"/>
                <w:szCs w:val="15"/>
                <w:highlight w:val="green"/>
                <w:lang w:eastAsia="zh-CN"/>
              </w:rPr>
              <w:t>Agreement</w:t>
            </w:r>
          </w:p>
          <w:p>
            <w:pPr>
              <w:adjustRightInd w:val="0"/>
              <w:snapToGrid w:val="0"/>
              <w:rPr>
                <w:bCs/>
                <w:sz w:val="20"/>
                <w:szCs w:val="15"/>
              </w:rPr>
            </w:pPr>
            <w:r>
              <w:rPr>
                <w:sz w:val="20"/>
                <w:szCs w:val="15"/>
              </w:rPr>
              <w:t>T</w:t>
            </w:r>
            <w:r>
              <w:rPr>
                <w:rFonts w:hint="eastAsia"/>
                <w:sz w:val="20"/>
                <w:szCs w:val="15"/>
              </w:rPr>
              <w:t xml:space="preserve">o </w:t>
            </w:r>
            <w:r>
              <w:rPr>
                <w:rFonts w:eastAsia="宋体"/>
                <w:sz w:val="20"/>
                <w:szCs w:val="15"/>
                <w:lang w:eastAsia="zh-CN"/>
              </w:rPr>
              <w:t xml:space="preserve">mitigate </w:t>
            </w:r>
            <w:r>
              <w:rPr>
                <w:rFonts w:hint="eastAsia" w:eastAsia="宋体"/>
                <w:sz w:val="20"/>
                <w:szCs w:val="15"/>
                <w:lang w:eastAsia="zh-CN"/>
              </w:rPr>
              <w:t>t</w:t>
            </w:r>
            <w:r>
              <w:rPr>
                <w:rFonts w:hint="eastAsia" w:ascii="Times New Roman" w:hAnsi="Times New Roman"/>
                <w:sz w:val="20"/>
                <w:szCs w:val="15"/>
              </w:rPr>
              <w:t xml:space="preserve">he collisions of case3 and case4, </w:t>
            </w:r>
            <w:r>
              <w:rPr>
                <w:rFonts w:hint="eastAsia" w:ascii="Times New Roman" w:hAnsi="Times New Roman" w:eastAsia="宋体"/>
                <w:sz w:val="20"/>
                <w:szCs w:val="15"/>
                <w:lang w:eastAsia="zh-CN"/>
              </w:rPr>
              <w:t xml:space="preserve">the following TA reporting </w:t>
            </w:r>
            <w:r>
              <w:rPr>
                <w:rFonts w:ascii="Times New Roman" w:hAnsi="Times New Roman" w:eastAsia="宋体"/>
                <w:sz w:val="20"/>
                <w:szCs w:val="15"/>
                <w:lang w:eastAsia="zh-CN"/>
              </w:rPr>
              <w:t>enhancement</w:t>
            </w:r>
            <w:r>
              <w:rPr>
                <w:rFonts w:hint="eastAsia" w:ascii="Times New Roman" w:hAnsi="Times New Roman" w:eastAsia="宋体"/>
                <w:sz w:val="20"/>
                <w:szCs w:val="15"/>
                <w:lang w:eastAsia="zh-CN"/>
              </w:rPr>
              <w:t xml:space="preserve">s </w:t>
            </w:r>
            <w:r>
              <w:rPr>
                <w:rFonts w:hint="eastAsia" w:eastAsia="宋体"/>
                <w:sz w:val="20"/>
                <w:szCs w:val="15"/>
                <w:lang w:eastAsia="zh-CN"/>
              </w:rPr>
              <w:t xml:space="preserve">for Rel-19 NTN </w:t>
            </w:r>
            <w:r>
              <w:rPr>
                <w:rFonts w:eastAsia="宋体"/>
                <w:sz w:val="20"/>
                <w:szCs w:val="15"/>
                <w:lang w:eastAsia="zh-CN"/>
              </w:rPr>
              <w:t xml:space="preserve">HD-FDD </w:t>
            </w:r>
            <w:r>
              <w:rPr>
                <w:rFonts w:hint="eastAsia" w:eastAsia="宋体"/>
                <w:sz w:val="20"/>
                <w:szCs w:val="15"/>
                <w:lang w:eastAsia="zh-CN"/>
              </w:rPr>
              <w:t>(e)Redcap UE</w:t>
            </w:r>
            <w:r>
              <w:rPr>
                <w:rFonts w:hint="eastAsia" w:ascii="Times New Roman" w:hAnsi="Times New Roman" w:eastAsia="宋体"/>
                <w:sz w:val="20"/>
                <w:szCs w:val="15"/>
                <w:lang w:eastAsia="zh-CN"/>
              </w:rPr>
              <w:t xml:space="preserve"> can be </w:t>
            </w:r>
            <w:r>
              <w:rPr>
                <w:rFonts w:ascii="Times New Roman" w:hAnsi="Times New Roman" w:eastAsia="宋体"/>
                <w:sz w:val="20"/>
                <w:szCs w:val="15"/>
                <w:lang w:eastAsia="zh-CN"/>
              </w:rPr>
              <w:t>further studied</w:t>
            </w:r>
            <w:r>
              <w:rPr>
                <w:rFonts w:hint="eastAsia" w:ascii="Times New Roman" w:hAnsi="Times New Roman" w:eastAsia="宋体"/>
                <w:sz w:val="20"/>
                <w:szCs w:val="15"/>
                <w:lang w:eastAsia="zh-CN"/>
              </w:rPr>
              <w:t xml:space="preserve">: </w:t>
            </w:r>
          </w:p>
          <w:p>
            <w:pPr>
              <w:pStyle w:val="75"/>
              <w:numPr>
                <w:ilvl w:val="0"/>
                <w:numId w:val="8"/>
              </w:numPr>
              <w:suppressAutoHyphens/>
              <w:ind w:leftChars="0"/>
              <w:rPr>
                <w:rFonts w:ascii="Times New Roman" w:hAnsi="Times New Roman" w:eastAsia="宋体"/>
                <w:sz w:val="20"/>
                <w:szCs w:val="15"/>
                <w:lang w:eastAsia="zh-CN"/>
              </w:rPr>
            </w:pPr>
            <w:r>
              <w:rPr>
                <w:rFonts w:hint="eastAsia" w:ascii="Times New Roman" w:hAnsi="Times New Roman" w:eastAsia="宋体"/>
                <w:sz w:val="20"/>
                <w:szCs w:val="15"/>
                <w:lang w:eastAsia="zh-CN"/>
              </w:rPr>
              <w:t xml:space="preserve">Finer TA report granularity </w:t>
            </w:r>
          </w:p>
          <w:p>
            <w:pPr>
              <w:pStyle w:val="75"/>
              <w:numPr>
                <w:ilvl w:val="0"/>
                <w:numId w:val="8"/>
              </w:numPr>
              <w:suppressAutoHyphens/>
              <w:ind w:leftChars="0"/>
              <w:rPr>
                <w:rFonts w:ascii="Times New Roman" w:hAnsi="Times New Roman" w:eastAsia="宋体"/>
                <w:sz w:val="20"/>
                <w:szCs w:val="15"/>
                <w:lang w:eastAsia="zh-CN"/>
              </w:rPr>
            </w:pPr>
            <w:r>
              <w:rPr>
                <w:rFonts w:hint="eastAsia" w:ascii="Times New Roman" w:hAnsi="Times New Roman" w:eastAsia="宋体"/>
                <w:sz w:val="20"/>
                <w:szCs w:val="15"/>
                <w:lang w:eastAsia="zh-CN"/>
              </w:rPr>
              <w:t xml:space="preserve">Smaller TA offset threshold </w:t>
            </w:r>
          </w:p>
          <w:p>
            <w:pPr>
              <w:pStyle w:val="75"/>
              <w:numPr>
                <w:ilvl w:val="0"/>
                <w:numId w:val="8"/>
              </w:numPr>
              <w:suppressAutoHyphens/>
              <w:ind w:leftChars="0"/>
              <w:rPr>
                <w:rFonts w:ascii="Times New Roman" w:hAnsi="Times New Roman" w:eastAsia="宋体"/>
                <w:sz w:val="20"/>
                <w:szCs w:val="15"/>
                <w:lang w:eastAsia="zh-CN"/>
              </w:rPr>
            </w:pPr>
            <w:r>
              <w:rPr>
                <w:rFonts w:hint="eastAsia" w:ascii="Times New Roman" w:hAnsi="Times New Roman" w:eastAsia="宋体"/>
                <w:sz w:val="20"/>
                <w:szCs w:val="15"/>
                <w:lang w:eastAsia="zh-CN"/>
              </w:rPr>
              <w:t xml:space="preserve">Trigger a </w:t>
            </w:r>
            <w:r>
              <w:rPr>
                <w:rFonts w:ascii="Times New Roman" w:hAnsi="Times New Roman" w:eastAsia="宋体"/>
                <w:sz w:val="20"/>
                <w:szCs w:val="15"/>
                <w:lang w:eastAsia="zh-CN"/>
              </w:rPr>
              <w:t>TA report</w:t>
            </w:r>
            <w:r>
              <w:rPr>
                <w:rFonts w:hint="eastAsia" w:ascii="Times New Roman" w:hAnsi="Times New Roman" w:eastAsia="宋体"/>
                <w:sz w:val="20"/>
                <w:szCs w:val="15"/>
                <w:lang w:eastAsia="zh-CN"/>
              </w:rPr>
              <w:t xml:space="preserve"> when the </w:t>
            </w:r>
            <w:r>
              <w:rPr>
                <w:rFonts w:ascii="Times New Roman" w:hAnsi="Times New Roman" w:eastAsia="宋体"/>
                <w:sz w:val="20"/>
                <w:szCs w:val="15"/>
                <w:lang w:eastAsia="zh-CN"/>
              </w:rPr>
              <w:t>collision</w:t>
            </w:r>
            <w:r>
              <w:rPr>
                <w:rFonts w:hint="eastAsia" w:ascii="Times New Roman" w:hAnsi="Times New Roman" w:eastAsia="宋体"/>
                <w:sz w:val="20"/>
                <w:szCs w:val="15"/>
                <w:lang w:eastAsia="zh-CN"/>
              </w:rPr>
              <w:t xml:space="preserve"> is</w:t>
            </w:r>
            <w:r>
              <w:rPr>
                <w:rFonts w:ascii="Times New Roman" w:hAnsi="Times New Roman" w:eastAsia="宋体"/>
                <w:sz w:val="20"/>
                <w:szCs w:val="15"/>
                <w:lang w:eastAsia="zh-CN"/>
              </w:rPr>
              <w:t xml:space="preserve"> detected at the UE</w:t>
            </w:r>
          </w:p>
          <w:p>
            <w:pPr>
              <w:pStyle w:val="75"/>
              <w:numPr>
                <w:ilvl w:val="0"/>
                <w:numId w:val="8"/>
              </w:numPr>
              <w:suppressAutoHyphens/>
              <w:ind w:leftChars="0"/>
              <w:rPr>
                <w:rFonts w:ascii="Times New Roman" w:hAnsi="Times New Roman" w:eastAsia="宋体"/>
                <w:sz w:val="20"/>
                <w:szCs w:val="15"/>
                <w:lang w:eastAsia="zh-CN"/>
              </w:rPr>
            </w:pPr>
            <w:r>
              <w:rPr>
                <w:rFonts w:hint="eastAsia" w:ascii="Times New Roman" w:hAnsi="Times New Roman" w:eastAsia="宋体"/>
                <w:sz w:val="20"/>
                <w:szCs w:val="15"/>
                <w:lang w:eastAsia="zh-CN"/>
              </w:rPr>
              <w:t xml:space="preserve">TA reporting </w:t>
            </w:r>
            <w:r>
              <w:rPr>
                <w:rFonts w:ascii="Times New Roman" w:hAnsi="Times New Roman" w:eastAsia="宋体"/>
                <w:sz w:val="20"/>
                <w:szCs w:val="15"/>
                <w:lang w:eastAsia="zh-CN"/>
              </w:rPr>
              <w:t>with a new</w:t>
            </w:r>
            <w:r>
              <w:rPr>
                <w:rFonts w:hint="eastAsia" w:ascii="Times New Roman" w:hAnsi="Times New Roman" w:eastAsia="宋体"/>
                <w:sz w:val="20"/>
                <w:szCs w:val="15"/>
                <w:lang w:eastAsia="zh-CN"/>
              </w:rPr>
              <w:t xml:space="preserve"> triggering</w:t>
            </w:r>
            <w:r>
              <w:rPr>
                <w:rFonts w:ascii="Times New Roman" w:hAnsi="Times New Roman" w:eastAsia="宋体"/>
                <w:sz w:val="20"/>
                <w:szCs w:val="15"/>
                <w:lang w:eastAsia="zh-CN"/>
              </w:rPr>
              <w:t xml:space="preserve"> mechanism</w:t>
            </w:r>
            <w:r>
              <w:rPr>
                <w:rFonts w:hint="eastAsia" w:ascii="Times New Roman" w:hAnsi="Times New Roman" w:eastAsia="宋体"/>
                <w:sz w:val="20"/>
                <w:szCs w:val="15"/>
                <w:lang w:eastAsia="zh-CN"/>
              </w:rPr>
              <w:t xml:space="preserve"> from gNB</w:t>
            </w:r>
          </w:p>
          <w:p>
            <w:pPr>
              <w:pStyle w:val="75"/>
              <w:numPr>
                <w:ilvl w:val="0"/>
                <w:numId w:val="8"/>
              </w:numPr>
              <w:suppressAutoHyphens/>
              <w:ind w:leftChars="0"/>
              <w:rPr>
                <w:rFonts w:ascii="Times New Roman" w:hAnsi="Times New Roman" w:eastAsia="宋体"/>
                <w:sz w:val="20"/>
                <w:szCs w:val="15"/>
                <w:lang w:eastAsia="zh-CN"/>
              </w:rPr>
            </w:pPr>
            <w:r>
              <w:rPr>
                <w:rFonts w:hint="eastAsia" w:ascii="Times New Roman" w:hAnsi="Times New Roman" w:eastAsia="宋体"/>
                <w:sz w:val="20"/>
                <w:szCs w:val="15"/>
                <w:lang w:eastAsia="zh-CN"/>
              </w:rPr>
              <w:t>T</w:t>
            </w:r>
            <w:r>
              <w:rPr>
                <w:rFonts w:ascii="Times New Roman" w:hAnsi="Times New Roman" w:eastAsia="宋体"/>
                <w:sz w:val="20"/>
                <w:szCs w:val="15"/>
                <w:lang w:eastAsia="zh-CN"/>
              </w:rPr>
              <w:t>A drifting rate reporting</w:t>
            </w:r>
          </w:p>
          <w:p>
            <w:pPr>
              <w:rPr>
                <w:rFonts w:eastAsia="宋体"/>
                <w:sz w:val="20"/>
                <w:szCs w:val="15"/>
                <w:lang w:val="en-US" w:eastAsia="zh-CN"/>
              </w:rPr>
            </w:pPr>
            <w:r>
              <w:rPr>
                <w:sz w:val="20"/>
                <w:szCs w:val="15"/>
                <w:lang w:val="en-US"/>
              </w:rPr>
              <w:t xml:space="preserve">Note: </w:t>
            </w:r>
            <w:r>
              <w:rPr>
                <w:rFonts w:hint="eastAsia" w:eastAsia="宋体"/>
                <w:sz w:val="20"/>
                <w:szCs w:val="15"/>
                <w:lang w:val="en-US" w:eastAsia="zh-CN"/>
              </w:rPr>
              <w:t xml:space="preserve">The benefit, </w:t>
            </w:r>
            <w:r>
              <w:rPr>
                <w:sz w:val="20"/>
                <w:szCs w:val="15"/>
                <w:lang w:val="en-US"/>
              </w:rPr>
              <w:t xml:space="preserve">complexity, power consumption and signaling overhead </w:t>
            </w:r>
            <w:r>
              <w:rPr>
                <w:rFonts w:hint="eastAsia" w:eastAsia="宋体"/>
                <w:sz w:val="20"/>
                <w:szCs w:val="15"/>
                <w:lang w:val="en-US" w:eastAsia="zh-CN"/>
              </w:rPr>
              <w:t xml:space="preserve">of each scheme is to be further </w:t>
            </w:r>
            <w:r>
              <w:rPr>
                <w:sz w:val="20"/>
                <w:szCs w:val="15"/>
                <w:lang w:val="en-US"/>
              </w:rPr>
              <w:t>investigated</w:t>
            </w:r>
            <w:r>
              <w:rPr>
                <w:rFonts w:hint="eastAsia" w:eastAsia="宋体"/>
                <w:sz w:val="20"/>
                <w:szCs w:val="15"/>
                <w:lang w:val="en-US" w:eastAsia="zh-CN"/>
              </w:rPr>
              <w:t>.</w:t>
            </w:r>
          </w:p>
          <w:p>
            <w:pPr>
              <w:rPr>
                <w:rFonts w:hint="eastAsia"/>
                <w:kern w:val="2"/>
                <w:sz w:val="20"/>
                <w:szCs w:val="20"/>
                <w:vertAlign w:val="baseline"/>
                <w:lang w:val="en-US" w:eastAsia="zh-CN"/>
              </w:rPr>
            </w:pPr>
            <w:r>
              <w:rPr>
                <w:rFonts w:hint="eastAsia" w:eastAsia="宋体"/>
                <w:sz w:val="20"/>
                <w:szCs w:val="15"/>
                <w:lang w:eastAsia="zh-CN"/>
              </w:rPr>
              <w:t>N</w:t>
            </w:r>
            <w:r>
              <w:rPr>
                <w:rFonts w:eastAsia="宋体"/>
                <w:sz w:val="20"/>
                <w:szCs w:val="15"/>
                <w:lang w:eastAsia="zh-CN"/>
              </w:rPr>
              <w:t>ote: other solutions can also be studied</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p>
    <w:p>
      <w:pPr>
        <w:outlineLvl w:val="9"/>
        <w:rPr>
          <w:rFonts w:hint="default"/>
          <w:b/>
          <w:i/>
          <w:iCs/>
          <w:sz w:val="20"/>
          <w:szCs w:val="20"/>
          <w:highlight w:val="none"/>
          <w:u w:val="single"/>
          <w:lang w:val="en-US" w:eastAsia="zh-CN"/>
        </w:rPr>
      </w:pPr>
      <w:r>
        <w:rPr>
          <w:rFonts w:hint="eastAsia"/>
          <w:b/>
          <w:i/>
          <w:iCs/>
          <w:sz w:val="20"/>
          <w:szCs w:val="20"/>
          <w:highlight w:val="none"/>
          <w:u w:val="single"/>
          <w:lang w:val="en-US" w:eastAsia="zh-CN"/>
        </w:rPr>
        <w:t>Combination of other features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For R17 and R18 NTN, RAN1 to RAN4 introduced a lot of new UE features and related requirements for network access, measurement, mobility, and so on. For the optional NTN features below which have impact on RAN4 requirements and need enhanced UE capability, whether Redcap UE could optionally support it and whether define RAN4 requirements should be further discussed.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In current stage, we think Set 1 features can be optionally supported by Redcap UE, and details can be further discussed. Set 2 features need further discussion.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Set 1:</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Time-based measurement initiation</w:t>
      </w:r>
    </w:p>
    <w:p>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157" w:beforeLines="50" w:line="240" w:lineRule="auto"/>
        <w:ind w:left="42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zh-CN"/>
        </w:rPr>
        <w:t>For earth-fixed scenario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Location-based measurement initiation</w:t>
      </w:r>
    </w:p>
    <w:p>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157" w:beforeLines="50" w:line="240" w:lineRule="auto"/>
        <w:ind w:left="42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zh-CN"/>
        </w:rPr>
        <w:t>For earth-fixed scenario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SMTC adjustment in idle/inactive</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Location-based measurement report trigger</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Inter-Satellite measurements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Enhanced RRM requirements for measurements in IDLE and INACTIVE modes</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The number of target LEO satellites the UE can monitor per carrier including serving satellite</w:t>
      </w:r>
    </w:p>
    <w:p>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157" w:beforeLines="50" w:line="240" w:lineRule="auto"/>
        <w:ind w:left="42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Further discuss the max number</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RACH-less HO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Parallel measurements on multiple SMTC-s for a single frequency carrier</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Parallel measurements with multiple measurement gaps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Set 2:</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Time-based measurement initiation</w:t>
      </w:r>
    </w:p>
    <w:p>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157" w:beforeLines="50" w:line="240" w:lineRule="auto"/>
        <w:ind w:left="42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zh-CN"/>
        </w:rPr>
        <w:t>For earth-moving scenario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en-GB"/>
        </w:rPr>
        <w:t>Location-based measurement initiation</w:t>
      </w:r>
      <w:bookmarkStart w:id="15" w:name="_GoBack"/>
      <w:bookmarkEnd w:id="15"/>
    </w:p>
    <w:p>
      <w:pPr>
        <w:keepNext w:val="0"/>
        <w:keepLines w:val="0"/>
        <w:pageBreakBefore w:val="0"/>
        <w:widowControl/>
        <w:numPr>
          <w:ilvl w:val="1"/>
          <w:numId w:val="7"/>
        </w:numPr>
        <w:tabs>
          <w:tab w:val="clear" w:pos="840"/>
        </w:tabs>
        <w:kinsoku/>
        <w:wordWrap/>
        <w:overflowPunct/>
        <w:topLinePunct w:val="0"/>
        <w:autoSpaceDE/>
        <w:autoSpaceDN/>
        <w:bidi w:val="0"/>
        <w:adjustRightInd/>
        <w:snapToGrid/>
        <w:spacing w:before="157" w:beforeLines="50" w:line="240" w:lineRule="auto"/>
        <w:ind w:left="420" w:leftChars="0" w:firstLine="0" w:firstLineChars="0"/>
        <w:jc w:val="both"/>
        <w:textAlignment w:val="auto"/>
        <w:rPr>
          <w:rFonts w:hint="eastAsia"/>
          <w:b w:val="0"/>
          <w:bCs w:val="0"/>
          <w:i w:val="0"/>
          <w:iCs w:val="0"/>
          <w:sz w:val="20"/>
          <w:szCs w:val="20"/>
          <w:lang w:val="en-US" w:eastAsia="en-GB"/>
        </w:rPr>
      </w:pPr>
      <w:r>
        <w:rPr>
          <w:rFonts w:hint="eastAsia"/>
          <w:b w:val="0"/>
          <w:bCs w:val="0"/>
          <w:i w:val="0"/>
          <w:iCs w:val="0"/>
          <w:sz w:val="20"/>
          <w:szCs w:val="20"/>
          <w:lang w:val="en-US" w:eastAsia="zh-CN"/>
        </w:rPr>
        <w:t>For earth-moving scenario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400" w:leftChars="0" w:hanging="400" w:hangingChars="20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Parallel measurements on cells belonging to a different NGSO satellite than a serving satellite without scheduling restrictions on normal operations with the serving cell</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val="0"/>
          <w:bCs w:val="0"/>
          <w:i w:val="0"/>
          <w:iCs w:val="0"/>
          <w:sz w:val="20"/>
          <w:szCs w:val="20"/>
          <w:lang w:val="en-US" w:eastAsia="zh-CN"/>
        </w:rPr>
      </w:pPr>
      <w:r>
        <w:rPr>
          <w:rFonts w:hint="eastAsia"/>
          <w:b w:val="0"/>
          <w:bCs w:val="0"/>
          <w:i w:val="0"/>
          <w:iCs w:val="0"/>
          <w:sz w:val="20"/>
          <w:szCs w:val="20"/>
          <w:lang w:val="en-US" w:eastAsia="zh-CN"/>
        </w:rPr>
        <w:t>Parallel measurements on multiple NGSO satellites within a SMTC</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b/>
          <w:bCs/>
          <w:i/>
          <w:iCs/>
          <w:sz w:val="20"/>
          <w:szCs w:val="20"/>
          <w:lang w:val="en-US" w:eastAsia="zh-CN"/>
        </w:rPr>
        <w:t>Proposal 10: For the optional NTN features which have impact on RAN4 requirements and need enhanced UE capability, whether Redcap UE could optionally support it and whether RAN4 need to define requirements should be further discussed.</w:t>
      </w:r>
    </w:p>
    <w:p>
      <w:pPr>
        <w:outlineLvl w:val="9"/>
        <w:rPr>
          <w:rFonts w:hint="default"/>
          <w:b/>
          <w:i/>
          <w:iCs/>
          <w:sz w:val="20"/>
          <w:szCs w:val="20"/>
          <w:highlight w:val="none"/>
          <w:u w:val="single"/>
          <w:lang w:val="en-US" w:eastAsia="zh-CN"/>
        </w:rPr>
      </w:pPr>
    </w:p>
    <w:bookmarkEnd w:id="6"/>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7"/>
      <w:bookmarkEnd w:id="8"/>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Both bandwidth with and without reduction of R18 eRedCap UE should be supported for (e)RedCap UE with FR1-NTN bands, same RRM requirements can be applied.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In addition to the scenario agreed in last meeting, only FR1 single carrier should be considered, and all FR1 SCS, including 15kHz, 30kHz and 60kHz should be supported.</w:t>
      </w:r>
    </w:p>
    <w:p>
      <w:pPr>
        <w:tabs>
          <w:tab w:val="left" w:pos="1134"/>
        </w:tabs>
        <w:spacing w:before="60"/>
        <w:jc w:val="both"/>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Define following requirements for Redcap over NTN, if the related features are supported in RAN1/2 spec:</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MDT requirements in RRC_IDLE and RRC_INACTIVE state</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NR Rel-17/18 CHO, including location-based CHO and time-based CHO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b/>
          <w:bCs/>
          <w:i/>
          <w:iCs/>
          <w:sz w:val="20"/>
          <w:szCs w:val="20"/>
          <w:lang w:val="en-US" w:eastAsia="zh-CN"/>
        </w:rPr>
        <w:t>Proposal 4: For Redcap over NTN, no need to define NCD-SSB specific measurement requirements.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5: Support Redcap R17 relaxed measurement in GEO deployment scenario.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6: Support eDRX configuration for Redcap over NTN, and define following applicability rule for each deployment scenario:</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GEO deployment, all DRX and eDRX cycle can be supported.</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earth-fixed LEO deployment, requirements are applicable for up to 10.24s eDRX cycle</w:t>
      </w:r>
    </w:p>
    <w:p>
      <w:pPr>
        <w:keepNext w:val="0"/>
        <w:keepLines w:val="0"/>
        <w:pageBreakBefore w:val="0"/>
        <w:widowControl/>
        <w:numPr>
          <w:ilvl w:val="0"/>
          <w:numId w:val="7"/>
        </w:numPr>
        <w:tabs>
          <w:tab w:val="clear" w:pos="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b/>
          <w:bCs/>
          <w:i/>
          <w:iCs/>
          <w:sz w:val="20"/>
          <w:szCs w:val="20"/>
          <w:lang w:val="en-US" w:eastAsia="zh-CN"/>
        </w:rPr>
      </w:pPr>
      <w:r>
        <w:rPr>
          <w:rFonts w:hint="eastAsia"/>
          <w:b/>
          <w:bCs/>
          <w:i/>
          <w:iCs/>
          <w:sz w:val="20"/>
          <w:szCs w:val="20"/>
          <w:lang w:val="en-US" w:eastAsia="zh-CN"/>
        </w:rPr>
        <w:t>For earth-moving LEO deployment, requirements are not applicable for eDRX cycle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7: Define the CSSF for Redcap over NTN, the legacy CSSF for Redcap can be the baseline.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8: Consider concurrent gap for Redcap over NTN.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9: the current relaxation methodology for Redcap UE with 1Rx can be the reference.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sz w:val="20"/>
          <w:szCs w:val="20"/>
        </w:rPr>
      </w:pPr>
      <w:r>
        <w:rPr>
          <w:rFonts w:hint="eastAsia"/>
          <w:b/>
          <w:bCs/>
          <w:i/>
          <w:iCs/>
          <w:sz w:val="20"/>
          <w:szCs w:val="20"/>
          <w:lang w:val="en-US" w:eastAsia="zh-CN"/>
        </w:rPr>
        <w:t>Proposal 10: For the optional NTN features which have impact on RAN4 requirements and need enhanced UE capability, whether Redcap UE could optionally support it and whether RAN4 need to define requirements should be further discussed.</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9"/>
        </w:numPr>
        <w:rPr>
          <w:rFonts w:hint="default" w:eastAsiaTheme="minorEastAsia"/>
          <w:sz w:val="20"/>
          <w:szCs w:val="20"/>
          <w:lang w:val="en-US" w:eastAsia="zh-CN"/>
        </w:rPr>
      </w:pPr>
      <w:r>
        <w:rPr>
          <w:rFonts w:hint="eastAsia"/>
          <w:sz w:val="20"/>
          <w:szCs w:val="20"/>
          <w:lang w:val="en-US" w:eastAsia="zh-CN"/>
        </w:rPr>
        <w:t>R4-2414037, The WF on RRM requirements for Rel-19 NR NTN phase3, CATT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DDA047"/>
    <w:multiLevelType w:val="multilevel"/>
    <w:tmpl w:val="05DDA047"/>
    <w:lvl w:ilvl="0" w:tentative="0">
      <w:start w:val="1"/>
      <w:numFmt w:val="bullet"/>
      <w:lvlText w:val=""/>
      <w:lvlJc w:val="left"/>
      <w:pPr>
        <w:tabs>
          <w:tab w:val="left" w:pos="134"/>
        </w:tabs>
        <w:ind w:left="134" w:leftChars="0" w:hanging="134"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lang w:val="en-US"/>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9EE624D"/>
    <w:multiLevelType w:val="singleLevel"/>
    <w:tmpl w:val="79EE624D"/>
    <w:lvl w:ilvl="0" w:tentative="0">
      <w:start w:val="1"/>
      <w:numFmt w:val="decimal"/>
      <w:suff w:val="space"/>
      <w:lvlText w:val="[%1]"/>
      <w:lvlJc w:val="left"/>
    </w:lvl>
  </w:abstractNum>
  <w:num w:numId="1">
    <w:abstractNumId w:val="7"/>
  </w:num>
  <w:num w:numId="2">
    <w:abstractNumId w:val="5"/>
  </w:num>
  <w:num w:numId="3">
    <w:abstractNumId w:val="3"/>
  </w:num>
  <w:num w:numId="4">
    <w:abstractNumId w:val="6"/>
  </w:num>
  <w:num w:numId="5">
    <w:abstractNumId w:val="2"/>
  </w:num>
  <w:num w:numId="6">
    <w:abstractNumId w:val="4"/>
  </w:num>
  <w:num w:numId="7">
    <w:abstractNumId w:val="0"/>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437C9C"/>
    <w:rsid w:val="0157185C"/>
    <w:rsid w:val="02BB15E8"/>
    <w:rsid w:val="02CD6222"/>
    <w:rsid w:val="032875BA"/>
    <w:rsid w:val="035A658E"/>
    <w:rsid w:val="03FF761E"/>
    <w:rsid w:val="04027B7C"/>
    <w:rsid w:val="04270E0A"/>
    <w:rsid w:val="04F14AC0"/>
    <w:rsid w:val="05E842A2"/>
    <w:rsid w:val="061C4A75"/>
    <w:rsid w:val="06830D33"/>
    <w:rsid w:val="07B91BA9"/>
    <w:rsid w:val="09301679"/>
    <w:rsid w:val="098E414D"/>
    <w:rsid w:val="0A002B8F"/>
    <w:rsid w:val="0A2F10B0"/>
    <w:rsid w:val="0A314183"/>
    <w:rsid w:val="0A512B65"/>
    <w:rsid w:val="0B3C6892"/>
    <w:rsid w:val="0B4D1804"/>
    <w:rsid w:val="0B4E364B"/>
    <w:rsid w:val="0BC169A8"/>
    <w:rsid w:val="0BFD3FEE"/>
    <w:rsid w:val="0BFE43A0"/>
    <w:rsid w:val="0C34713B"/>
    <w:rsid w:val="0D11391B"/>
    <w:rsid w:val="0D6D742F"/>
    <w:rsid w:val="0D7B07A7"/>
    <w:rsid w:val="0DB01D4D"/>
    <w:rsid w:val="0E1E058B"/>
    <w:rsid w:val="0E6C3CB3"/>
    <w:rsid w:val="0E723D6F"/>
    <w:rsid w:val="0EA0635C"/>
    <w:rsid w:val="0EB73522"/>
    <w:rsid w:val="0EC601AB"/>
    <w:rsid w:val="0F2A17EF"/>
    <w:rsid w:val="103877B0"/>
    <w:rsid w:val="10FD15E1"/>
    <w:rsid w:val="11157AC0"/>
    <w:rsid w:val="11410433"/>
    <w:rsid w:val="114C2E03"/>
    <w:rsid w:val="11502A3C"/>
    <w:rsid w:val="116206E1"/>
    <w:rsid w:val="11E74B6B"/>
    <w:rsid w:val="135D091C"/>
    <w:rsid w:val="1381490C"/>
    <w:rsid w:val="144E60BA"/>
    <w:rsid w:val="14704788"/>
    <w:rsid w:val="155A08C9"/>
    <w:rsid w:val="16F963FC"/>
    <w:rsid w:val="17F40229"/>
    <w:rsid w:val="17F76EF9"/>
    <w:rsid w:val="18572D14"/>
    <w:rsid w:val="19166C11"/>
    <w:rsid w:val="19684D1A"/>
    <w:rsid w:val="199268D2"/>
    <w:rsid w:val="19AE4C3C"/>
    <w:rsid w:val="19E84EE7"/>
    <w:rsid w:val="1A337C08"/>
    <w:rsid w:val="1A693185"/>
    <w:rsid w:val="1AE9076D"/>
    <w:rsid w:val="1B08792E"/>
    <w:rsid w:val="1C045BB5"/>
    <w:rsid w:val="1CE6214B"/>
    <w:rsid w:val="1D482986"/>
    <w:rsid w:val="1D530466"/>
    <w:rsid w:val="1E727913"/>
    <w:rsid w:val="1EBC4909"/>
    <w:rsid w:val="203F5164"/>
    <w:rsid w:val="20577E1E"/>
    <w:rsid w:val="20741BCD"/>
    <w:rsid w:val="21E6327B"/>
    <w:rsid w:val="220A3DCE"/>
    <w:rsid w:val="226278E6"/>
    <w:rsid w:val="228679ED"/>
    <w:rsid w:val="2297614E"/>
    <w:rsid w:val="22CD4739"/>
    <w:rsid w:val="22DF4B25"/>
    <w:rsid w:val="23A0131E"/>
    <w:rsid w:val="23F24A71"/>
    <w:rsid w:val="2453420A"/>
    <w:rsid w:val="25B0630F"/>
    <w:rsid w:val="260E7FC9"/>
    <w:rsid w:val="264F651F"/>
    <w:rsid w:val="26AB5CAA"/>
    <w:rsid w:val="270343AF"/>
    <w:rsid w:val="275238E8"/>
    <w:rsid w:val="27885E9A"/>
    <w:rsid w:val="27A9199E"/>
    <w:rsid w:val="27C37418"/>
    <w:rsid w:val="27E70AD2"/>
    <w:rsid w:val="282B4205"/>
    <w:rsid w:val="28340C68"/>
    <w:rsid w:val="28E63708"/>
    <w:rsid w:val="2903193C"/>
    <w:rsid w:val="293A0182"/>
    <w:rsid w:val="29B87E90"/>
    <w:rsid w:val="29F41202"/>
    <w:rsid w:val="2A1C7136"/>
    <w:rsid w:val="2A52567F"/>
    <w:rsid w:val="2AD63ADB"/>
    <w:rsid w:val="2B2D51E0"/>
    <w:rsid w:val="2CCE420F"/>
    <w:rsid w:val="2D3C0CBF"/>
    <w:rsid w:val="2D480610"/>
    <w:rsid w:val="2E177608"/>
    <w:rsid w:val="2E285745"/>
    <w:rsid w:val="2E954754"/>
    <w:rsid w:val="2EBB7CD6"/>
    <w:rsid w:val="2ECD6A4D"/>
    <w:rsid w:val="2F1F43E1"/>
    <w:rsid w:val="2F28060A"/>
    <w:rsid w:val="2FF748E5"/>
    <w:rsid w:val="302A3B16"/>
    <w:rsid w:val="30B631AE"/>
    <w:rsid w:val="311C418B"/>
    <w:rsid w:val="312A6EA1"/>
    <w:rsid w:val="314F1B30"/>
    <w:rsid w:val="33106379"/>
    <w:rsid w:val="33417212"/>
    <w:rsid w:val="337A5602"/>
    <w:rsid w:val="339A6C60"/>
    <w:rsid w:val="33A629ED"/>
    <w:rsid w:val="33C33478"/>
    <w:rsid w:val="33CE3940"/>
    <w:rsid w:val="33E2308C"/>
    <w:rsid w:val="33FF585B"/>
    <w:rsid w:val="34C969B6"/>
    <w:rsid w:val="35CB3800"/>
    <w:rsid w:val="36081486"/>
    <w:rsid w:val="3620464F"/>
    <w:rsid w:val="36267311"/>
    <w:rsid w:val="36ED2DC2"/>
    <w:rsid w:val="37CB4866"/>
    <w:rsid w:val="38616D76"/>
    <w:rsid w:val="3ABF584B"/>
    <w:rsid w:val="3AE06415"/>
    <w:rsid w:val="3B1D4D3A"/>
    <w:rsid w:val="3B1E11F2"/>
    <w:rsid w:val="3B3261DC"/>
    <w:rsid w:val="3BCD3BF3"/>
    <w:rsid w:val="3C1B0BDA"/>
    <w:rsid w:val="3C1C2A58"/>
    <w:rsid w:val="3C3F629C"/>
    <w:rsid w:val="3CC57762"/>
    <w:rsid w:val="3D2E150D"/>
    <w:rsid w:val="3D774C98"/>
    <w:rsid w:val="3DA924E0"/>
    <w:rsid w:val="3DD26E51"/>
    <w:rsid w:val="3DFE15C4"/>
    <w:rsid w:val="3FFA159D"/>
    <w:rsid w:val="4028093E"/>
    <w:rsid w:val="40A203D0"/>
    <w:rsid w:val="41021CB6"/>
    <w:rsid w:val="42714C57"/>
    <w:rsid w:val="428C04CB"/>
    <w:rsid w:val="438A330C"/>
    <w:rsid w:val="43B141DD"/>
    <w:rsid w:val="43D2693C"/>
    <w:rsid w:val="443A7490"/>
    <w:rsid w:val="44694FB6"/>
    <w:rsid w:val="44D416C8"/>
    <w:rsid w:val="44F042A4"/>
    <w:rsid w:val="45004955"/>
    <w:rsid w:val="45104F09"/>
    <w:rsid w:val="4568626D"/>
    <w:rsid w:val="45D44A70"/>
    <w:rsid w:val="468D0F58"/>
    <w:rsid w:val="47382E8E"/>
    <w:rsid w:val="47BD2EBF"/>
    <w:rsid w:val="480073D8"/>
    <w:rsid w:val="483C7010"/>
    <w:rsid w:val="48827744"/>
    <w:rsid w:val="489F04CD"/>
    <w:rsid w:val="48DD3AEA"/>
    <w:rsid w:val="48FF5BC4"/>
    <w:rsid w:val="4909275C"/>
    <w:rsid w:val="496B0DFD"/>
    <w:rsid w:val="49916B70"/>
    <w:rsid w:val="499C7F1A"/>
    <w:rsid w:val="49BD7F19"/>
    <w:rsid w:val="4A4107F5"/>
    <w:rsid w:val="4AAD5187"/>
    <w:rsid w:val="4AB334E0"/>
    <w:rsid w:val="4AC54120"/>
    <w:rsid w:val="4AE14CE5"/>
    <w:rsid w:val="4B820C21"/>
    <w:rsid w:val="4C740FBB"/>
    <w:rsid w:val="4CB32D3F"/>
    <w:rsid w:val="4D2C3744"/>
    <w:rsid w:val="4DF73079"/>
    <w:rsid w:val="4E222F58"/>
    <w:rsid w:val="4E63642D"/>
    <w:rsid w:val="4E734BC1"/>
    <w:rsid w:val="4EEE3525"/>
    <w:rsid w:val="4F4A5D3D"/>
    <w:rsid w:val="4F882DF6"/>
    <w:rsid w:val="4FA71C42"/>
    <w:rsid w:val="4FBE626D"/>
    <w:rsid w:val="50047D3F"/>
    <w:rsid w:val="50803E7A"/>
    <w:rsid w:val="50D16751"/>
    <w:rsid w:val="50FC4159"/>
    <w:rsid w:val="52387E00"/>
    <w:rsid w:val="52657DC0"/>
    <w:rsid w:val="52A02608"/>
    <w:rsid w:val="53046661"/>
    <w:rsid w:val="53F344DD"/>
    <w:rsid w:val="53F34D30"/>
    <w:rsid w:val="54141C5F"/>
    <w:rsid w:val="5415308F"/>
    <w:rsid w:val="548E4C17"/>
    <w:rsid w:val="559303C8"/>
    <w:rsid w:val="56902820"/>
    <w:rsid w:val="56D73D29"/>
    <w:rsid w:val="56D805CB"/>
    <w:rsid w:val="57252D4C"/>
    <w:rsid w:val="578951E7"/>
    <w:rsid w:val="585C7AD6"/>
    <w:rsid w:val="587E7112"/>
    <w:rsid w:val="58B90AAC"/>
    <w:rsid w:val="58D33E46"/>
    <w:rsid w:val="59451621"/>
    <w:rsid w:val="59804317"/>
    <w:rsid w:val="5A3916BC"/>
    <w:rsid w:val="5A5554D1"/>
    <w:rsid w:val="5ACB668C"/>
    <w:rsid w:val="5AD564E3"/>
    <w:rsid w:val="5B4F5A23"/>
    <w:rsid w:val="5B9A48FE"/>
    <w:rsid w:val="5BE54260"/>
    <w:rsid w:val="5C03165A"/>
    <w:rsid w:val="5D0B6B17"/>
    <w:rsid w:val="5DE26877"/>
    <w:rsid w:val="5E0314D0"/>
    <w:rsid w:val="5EA54D66"/>
    <w:rsid w:val="5FAE3C1E"/>
    <w:rsid w:val="60176AA1"/>
    <w:rsid w:val="601C52A9"/>
    <w:rsid w:val="603B3B74"/>
    <w:rsid w:val="60BC6411"/>
    <w:rsid w:val="61AF27D1"/>
    <w:rsid w:val="61FE73B1"/>
    <w:rsid w:val="621D6C97"/>
    <w:rsid w:val="628E517D"/>
    <w:rsid w:val="629C6F02"/>
    <w:rsid w:val="636D6759"/>
    <w:rsid w:val="646D5888"/>
    <w:rsid w:val="649B770A"/>
    <w:rsid w:val="65B3429B"/>
    <w:rsid w:val="666B0042"/>
    <w:rsid w:val="6695767F"/>
    <w:rsid w:val="669876C5"/>
    <w:rsid w:val="669A6BCA"/>
    <w:rsid w:val="66A97CCD"/>
    <w:rsid w:val="66B83359"/>
    <w:rsid w:val="66F52B79"/>
    <w:rsid w:val="674701DD"/>
    <w:rsid w:val="674E1284"/>
    <w:rsid w:val="67791B52"/>
    <w:rsid w:val="678F7D1C"/>
    <w:rsid w:val="67B02672"/>
    <w:rsid w:val="67F34F90"/>
    <w:rsid w:val="67FA6925"/>
    <w:rsid w:val="68F9738C"/>
    <w:rsid w:val="690A41ED"/>
    <w:rsid w:val="6950210B"/>
    <w:rsid w:val="69B84930"/>
    <w:rsid w:val="6AA1751A"/>
    <w:rsid w:val="6B3773F6"/>
    <w:rsid w:val="6D72001A"/>
    <w:rsid w:val="6D790A61"/>
    <w:rsid w:val="6E7D749A"/>
    <w:rsid w:val="6EC018FE"/>
    <w:rsid w:val="6FAC37F7"/>
    <w:rsid w:val="6FD518E1"/>
    <w:rsid w:val="709A16D4"/>
    <w:rsid w:val="70B558FD"/>
    <w:rsid w:val="7191735E"/>
    <w:rsid w:val="738E763D"/>
    <w:rsid w:val="74521C25"/>
    <w:rsid w:val="74BC07DB"/>
    <w:rsid w:val="7530247A"/>
    <w:rsid w:val="759978CC"/>
    <w:rsid w:val="76320D9A"/>
    <w:rsid w:val="76871284"/>
    <w:rsid w:val="769367A2"/>
    <w:rsid w:val="77DC6BAC"/>
    <w:rsid w:val="77EA2826"/>
    <w:rsid w:val="77EB1A53"/>
    <w:rsid w:val="78833509"/>
    <w:rsid w:val="78DE7EBE"/>
    <w:rsid w:val="79497FA2"/>
    <w:rsid w:val="799A470F"/>
    <w:rsid w:val="7A496371"/>
    <w:rsid w:val="7A8B7C93"/>
    <w:rsid w:val="7B0E64C9"/>
    <w:rsid w:val="7B3426D8"/>
    <w:rsid w:val="7C1A4147"/>
    <w:rsid w:val="7CAD6BC4"/>
    <w:rsid w:val="7CE51231"/>
    <w:rsid w:val="7CED0E52"/>
    <w:rsid w:val="7CF466CF"/>
    <w:rsid w:val="7D017AA5"/>
    <w:rsid w:val="7DFB663E"/>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3418</Words>
  <Characters>19486</Characters>
  <Lines>162</Lines>
  <Paragraphs>45</Paragraphs>
  <TotalTime>4</TotalTime>
  <ScaleCrop>false</ScaleCrop>
  <LinksUpToDate>false</LinksUpToDate>
  <CharactersWithSpaces>22859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2024-10-06T10:35:21Z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34D6510157444E8DA08695970280360A</vt:lpwstr>
  </property>
</Properties>
</file>